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CE" w:rsidRDefault="00027DCE" w:rsidP="00027DCE">
      <w:pPr>
        <w:spacing w:before="3" w:after="396"/>
        <w:ind w:right="9431"/>
      </w:pPr>
    </w:p>
    <w:p w:rsidR="00027DCE" w:rsidRDefault="00027DCE" w:rsidP="00027DCE">
      <w:pPr>
        <w:pStyle w:val="Style3"/>
        <w:kinsoku w:val="0"/>
        <w:autoSpaceDE/>
        <w:autoSpaceDN/>
        <w:adjustRightInd/>
        <w:spacing w:before="288" w:line="199" w:lineRule="auto"/>
        <w:ind w:left="4248"/>
        <w:rPr>
          <w:rStyle w:val="CharacterStyle3"/>
          <w:rFonts w:ascii="Bookman Old Style" w:hAnsi="Bookman Old Style" w:cs="Bookman Old Style"/>
          <w:spacing w:val="-6"/>
          <w:sz w:val="24"/>
          <w:szCs w:val="24"/>
          <w:lang w:val="es-ES" w:eastAsia="es-ES"/>
        </w:rPr>
      </w:pPr>
      <w:r>
        <w:rPr>
          <w:rStyle w:val="CharacterStyle3"/>
          <w:rFonts w:ascii="Bookman Old Style" w:hAnsi="Bookman Old Style" w:cs="Bookman Old Style"/>
          <w:spacing w:val="-6"/>
          <w:sz w:val="24"/>
          <w:szCs w:val="24"/>
          <w:lang w:val="es-ES" w:eastAsia="es-ES"/>
        </w:rPr>
        <w:t>RESOLUCION No. 510-02</w:t>
      </w:r>
    </w:p>
    <w:p w:rsidR="00027DCE" w:rsidRDefault="00027DCE" w:rsidP="00027DCE">
      <w:pPr>
        <w:pStyle w:val="Style3"/>
        <w:kinsoku w:val="0"/>
        <w:autoSpaceDE/>
        <w:autoSpaceDN/>
        <w:adjustRightInd/>
        <w:spacing w:before="288"/>
        <w:ind w:left="1224" w:right="72"/>
        <w:rPr>
          <w:rStyle w:val="CharacterStyle3"/>
          <w:rFonts w:ascii="Bookman Old Style" w:hAnsi="Bookman Old Style" w:cs="Bookman Old Style"/>
          <w:spacing w:val="-20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11"/>
          <w:sz w:val="25"/>
          <w:szCs w:val="25"/>
          <w:lang w:val="es-ES" w:eastAsia="es-ES"/>
        </w:rPr>
        <w:t xml:space="preserve">TRIBUNAL ADMINISTRATIVO DE TRANSPORTE. </w:t>
      </w:r>
      <w:r>
        <w:rPr>
          <w:rStyle w:val="CharacterStyle3"/>
          <w:rFonts w:ascii="Bookman Old Style" w:hAnsi="Bookman Old Style" w:cs="Bookman Old Style"/>
          <w:spacing w:val="-11"/>
          <w:sz w:val="24"/>
          <w:szCs w:val="24"/>
          <w:lang w:val="es-ES" w:eastAsia="es-ES"/>
        </w:rPr>
        <w:t xml:space="preserve">San José, a las quince horas </w:t>
      </w:r>
      <w:r>
        <w:rPr>
          <w:rStyle w:val="CharacterStyle3"/>
          <w:rFonts w:ascii="Bookman Old Style" w:hAnsi="Bookman Old Style" w:cs="Bookman Old Style"/>
          <w:spacing w:val="-20"/>
          <w:sz w:val="24"/>
          <w:szCs w:val="24"/>
          <w:lang w:val="es-ES" w:eastAsia="es-ES"/>
        </w:rPr>
        <w:t>cincuenta y cinco minutos del quince de octubre de dos mil dos.-</w:t>
      </w:r>
    </w:p>
    <w:p w:rsidR="00027DCE" w:rsidRDefault="00027DCE" w:rsidP="00027DCE">
      <w:pPr>
        <w:pStyle w:val="Style3"/>
        <w:kinsoku w:val="0"/>
        <w:autoSpaceDE/>
        <w:autoSpaceDN/>
        <w:adjustRightInd/>
        <w:spacing w:before="180"/>
        <w:ind w:left="1224" w:right="72"/>
        <w:jc w:val="both"/>
        <w:rPr>
          <w:rStyle w:val="CharacterStyle3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3"/>
          <w:rFonts w:ascii="Bookman Old Style" w:hAnsi="Bookman Old Style" w:cs="Bookman Old Style"/>
          <w:spacing w:val="-17"/>
          <w:sz w:val="24"/>
          <w:szCs w:val="24"/>
          <w:lang w:val="es-ES" w:eastAsia="es-ES"/>
        </w:rPr>
        <w:t xml:space="preserve">Se conoce Recurso de Revocatoria con Apelación en subsidio interpuesto por el señor </w:t>
      </w:r>
      <w:r>
        <w:rPr>
          <w:rStyle w:val="CharacterStyle3"/>
          <w:b/>
          <w:bCs/>
          <w:spacing w:val="-5"/>
          <w:sz w:val="25"/>
          <w:szCs w:val="25"/>
          <w:lang w:val="es-ES" w:eastAsia="es-ES"/>
        </w:rPr>
        <w:t xml:space="preserve">EGP, cédula de identidad </w:t>
      </w:r>
      <w:proofErr w:type="gramStart"/>
      <w:r>
        <w:rPr>
          <w:rStyle w:val="CharacterStyle3"/>
          <w:b/>
          <w:bCs/>
          <w:spacing w:val="-5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3"/>
          <w:b/>
          <w:bCs/>
          <w:spacing w:val="-5"/>
          <w:sz w:val="25"/>
          <w:szCs w:val="25"/>
          <w:lang w:val="es-ES" w:eastAsia="es-ES"/>
        </w:rPr>
        <w:t xml:space="preserve">., </w:t>
      </w:r>
      <w:r>
        <w:rPr>
          <w:rStyle w:val="CharacterStyle3"/>
          <w:rFonts w:ascii="Bookman Old Style" w:hAnsi="Bookman Old Style" w:cs="Bookman Old Style"/>
          <w:spacing w:val="-5"/>
          <w:sz w:val="24"/>
          <w:szCs w:val="24"/>
          <w:lang w:val="es-ES" w:eastAsia="es-ES"/>
        </w:rPr>
        <w:t xml:space="preserve">contra el Acuerdo </w:t>
      </w:r>
      <w:r>
        <w:rPr>
          <w:rStyle w:val="CharacterStyle3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 xml:space="preserve">No. 1 de la Sesión Extraordinaria No 037-2001 del 24 de octubre del 2001, dictado por el </w:t>
      </w:r>
      <w:r>
        <w:rPr>
          <w:rStyle w:val="CharacterStyle3"/>
          <w:rFonts w:ascii="Bookman Old Style" w:hAnsi="Bookman Old Style" w:cs="Bookman Old Style"/>
          <w:spacing w:val="-16"/>
          <w:sz w:val="24"/>
          <w:szCs w:val="24"/>
          <w:lang w:val="es-ES" w:eastAsia="es-ES"/>
        </w:rPr>
        <w:t xml:space="preserve">Consejo de Transporte Público, publicado en el Alcance N° 75-A a La Gaceta N° 207 del </w:t>
      </w:r>
      <w:r>
        <w:rPr>
          <w:rStyle w:val="CharacterStyle3"/>
          <w:rFonts w:ascii="Bookman Old Style" w:hAnsi="Bookman Old Style" w:cs="Bookman Old Style"/>
          <w:spacing w:val="-12"/>
          <w:sz w:val="24"/>
          <w:szCs w:val="24"/>
          <w:lang w:val="es-ES" w:eastAsia="es-ES"/>
        </w:rPr>
        <w:t xml:space="preserve">29 de octubre de 2001, y tramitado en este Despacho bajo </w:t>
      </w:r>
      <w:r>
        <w:rPr>
          <w:rStyle w:val="CharacterStyle3"/>
          <w:b/>
          <w:bCs/>
          <w:spacing w:val="-12"/>
          <w:sz w:val="25"/>
          <w:szCs w:val="25"/>
          <w:lang w:val="es-ES" w:eastAsia="es-ES"/>
        </w:rPr>
        <w:t xml:space="preserve">Expediente Administrativo </w:t>
      </w:r>
      <w:r>
        <w:rPr>
          <w:rStyle w:val="CharacterStyle3"/>
          <w:b/>
          <w:bCs/>
          <w:spacing w:val="-4"/>
          <w:sz w:val="25"/>
          <w:szCs w:val="25"/>
          <w:lang w:val="es-ES" w:eastAsia="es-ES"/>
        </w:rPr>
        <w:t>No. TAT-226-02.</w:t>
      </w:r>
    </w:p>
    <w:p w:rsidR="00027DCE" w:rsidRDefault="00027DCE" w:rsidP="00027DCE">
      <w:pPr>
        <w:pStyle w:val="Style3"/>
        <w:kinsoku w:val="0"/>
        <w:autoSpaceDE/>
        <w:autoSpaceDN/>
        <w:adjustRightInd/>
        <w:spacing w:line="201" w:lineRule="auto"/>
        <w:ind w:right="3591"/>
        <w:jc w:val="right"/>
        <w:rPr>
          <w:rStyle w:val="CharacterStyle3"/>
          <w:b/>
          <w:bCs/>
          <w:sz w:val="25"/>
          <w:szCs w:val="25"/>
          <w:lang w:val="es-ES" w:eastAsia="es-ES"/>
        </w:rPr>
      </w:pPr>
      <w:r>
        <w:rPr>
          <w:rStyle w:val="CharacterStyle3"/>
          <w:b/>
          <w:bCs/>
          <w:sz w:val="25"/>
          <w:szCs w:val="25"/>
          <w:lang w:val="es-ES" w:eastAsia="es-ES"/>
        </w:rPr>
        <w:t>RESULTANDO:</w:t>
      </w:r>
    </w:p>
    <w:p w:rsidR="00027DCE" w:rsidRDefault="00027DCE" w:rsidP="00027DCE">
      <w:pPr>
        <w:pStyle w:val="Style3"/>
        <w:kinsoku w:val="0"/>
        <w:autoSpaceDE/>
        <w:autoSpaceDN/>
        <w:adjustRightInd/>
        <w:spacing w:before="180"/>
        <w:ind w:left="1224" w:right="72"/>
        <w:jc w:val="both"/>
        <w:rPr>
          <w:rStyle w:val="CharacterStyle3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5"/>
          <w:sz w:val="25"/>
          <w:szCs w:val="25"/>
          <w:lang w:val="es-ES" w:eastAsia="es-ES"/>
        </w:rPr>
        <w:t xml:space="preserve">PRIMERO: </w:t>
      </w:r>
      <w:r>
        <w:rPr>
          <w:rStyle w:val="CharacterStyle3"/>
          <w:rFonts w:ascii="Bookman Old Style" w:hAnsi="Bookman Old Style" w:cs="Bookman Old Style"/>
          <w:spacing w:val="-5"/>
          <w:sz w:val="24"/>
          <w:szCs w:val="24"/>
          <w:lang w:val="es-ES" w:eastAsia="es-ES"/>
        </w:rPr>
        <w:t xml:space="preserve">Que mediante Ley Reguladora del Servicio Público de Transporte </w:t>
      </w:r>
      <w:r>
        <w:rPr>
          <w:rStyle w:val="CharacterStyle3"/>
          <w:rFonts w:ascii="Bookman Old Style" w:hAnsi="Bookman Old Style" w:cs="Bookman Old Style"/>
          <w:spacing w:val="-16"/>
          <w:sz w:val="24"/>
          <w:szCs w:val="24"/>
          <w:lang w:val="es-ES" w:eastAsia="es-ES"/>
        </w:rPr>
        <w:t xml:space="preserve">Remunerado de Personas en Vehículos en la Modalidad de Taxi, No. 7969 del 22 de </w:t>
      </w:r>
      <w:r>
        <w:rPr>
          <w:rStyle w:val="CharacterStyle3"/>
          <w:rFonts w:ascii="Bookman Old Style" w:hAnsi="Bookman Old Style" w:cs="Bookman Old Style"/>
          <w:spacing w:val="-24"/>
          <w:sz w:val="24"/>
          <w:szCs w:val="24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3"/>
          <w:rFonts w:ascii="Bookman Old Style" w:hAnsi="Bookman Old Style" w:cs="Bookman Old Style"/>
          <w:spacing w:val="-16"/>
          <w:sz w:val="24"/>
          <w:szCs w:val="24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3"/>
          <w:rFonts w:ascii="Bookman Old Style" w:hAnsi="Bookman Old Style" w:cs="Bookman Old Style"/>
          <w:spacing w:val="-20"/>
          <w:sz w:val="24"/>
          <w:szCs w:val="24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3"/>
          <w:rFonts w:ascii="Bookman Old Style" w:hAnsi="Bookman Old Style" w:cs="Bookman Old Style"/>
          <w:spacing w:val="-12"/>
          <w:sz w:val="24"/>
          <w:szCs w:val="24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3"/>
          <w:rFonts w:ascii="Bookman Old Style" w:hAnsi="Bookman Old Style" w:cs="Bookman Old Style"/>
          <w:spacing w:val="-20"/>
          <w:sz w:val="24"/>
          <w:szCs w:val="24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3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>especiales de este concurso.</w:t>
      </w:r>
    </w:p>
    <w:p w:rsidR="00027DCE" w:rsidRDefault="00027DCE" w:rsidP="00027DCE">
      <w:pPr>
        <w:spacing w:after="269" w:line="20" w:lineRule="exact"/>
      </w:pPr>
    </w:p>
    <w:p w:rsidR="00027DCE" w:rsidRDefault="00027DCE" w:rsidP="00027DCE">
      <w:pPr>
        <w:pStyle w:val="Style3"/>
        <w:tabs>
          <w:tab w:val="right" w:pos="10095"/>
        </w:tabs>
        <w:kinsoku w:val="0"/>
        <w:autoSpaceDE/>
        <w:autoSpaceDN/>
        <w:adjustRightInd/>
        <w:spacing w:line="467" w:lineRule="exact"/>
        <w:ind w:left="144"/>
        <w:jc w:val="both"/>
        <w:rPr>
          <w:rStyle w:val="CharacterStyle3"/>
          <w:rFonts w:ascii="Bookman Old Style" w:hAnsi="Bookman Old Style" w:cs="Bookman Old Style"/>
          <w:spacing w:val="-10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ab/>
        <w:t xml:space="preserve">SEGUNDO: </w:t>
      </w:r>
      <w:r>
        <w:rPr>
          <w:rStyle w:val="CharacterStyle3"/>
          <w:rFonts w:ascii="Bookman Old Style" w:hAnsi="Bookman Old Style" w:cs="Bookman Old Style"/>
          <w:spacing w:val="-10"/>
          <w:sz w:val="24"/>
          <w:szCs w:val="24"/>
          <w:lang w:val="es-ES" w:eastAsia="es-ES"/>
        </w:rPr>
        <w:t>Que mediante el Decreto Ejecutivo N° 28913-MOPT, publicado el 19 de</w:t>
      </w:r>
    </w:p>
    <w:p w:rsidR="00027DCE" w:rsidRDefault="00027DCE" w:rsidP="00027DCE">
      <w:pPr>
        <w:pStyle w:val="Style3"/>
        <w:kinsoku w:val="0"/>
        <w:autoSpaceDE/>
        <w:autoSpaceDN/>
        <w:adjustRightInd/>
        <w:spacing w:line="271" w:lineRule="exact"/>
        <w:ind w:left="1224"/>
        <w:jc w:val="both"/>
        <w:rPr>
          <w:rStyle w:val="CharacterStyle3"/>
          <w:rFonts w:ascii="Bookman Old Style" w:hAnsi="Bookman Old Style" w:cs="Bookman Old Style"/>
          <w:spacing w:val="-10"/>
          <w:sz w:val="24"/>
          <w:szCs w:val="24"/>
          <w:lang w:val="es-ES" w:eastAsia="es-ES"/>
        </w:rPr>
      </w:pPr>
      <w:proofErr w:type="gramStart"/>
      <w:r>
        <w:rPr>
          <w:rStyle w:val="CharacterStyle3"/>
          <w:rFonts w:ascii="Bookman Old Style" w:hAnsi="Bookman Old Style" w:cs="Bookman Old Style"/>
          <w:spacing w:val="-12"/>
          <w:sz w:val="24"/>
          <w:szCs w:val="24"/>
          <w:lang w:val="es-ES" w:eastAsia="es-ES"/>
        </w:rPr>
        <w:t>septiembre</w:t>
      </w:r>
      <w:proofErr w:type="gramEnd"/>
      <w:r>
        <w:rPr>
          <w:rStyle w:val="CharacterStyle3"/>
          <w:rFonts w:ascii="Bookman Old Style" w:hAnsi="Bookman Old Style" w:cs="Bookman Old Style"/>
          <w:spacing w:val="-12"/>
          <w:sz w:val="24"/>
          <w:szCs w:val="24"/>
          <w:lang w:val="es-ES" w:eastAsia="es-ES"/>
        </w:rPr>
        <w:t xml:space="preserve"> del 2000, el Consejo de Transporte Público, somete a licitación pública la</w:t>
      </w:r>
      <w:r>
        <w:rPr>
          <w:rStyle w:val="CharacterStyle3"/>
          <w:rFonts w:ascii="Bookman Old Style" w:hAnsi="Bookman Old Style" w:cs="Bookman Old Style"/>
          <w:spacing w:val="-12"/>
          <w:sz w:val="24"/>
          <w:szCs w:val="24"/>
          <w:lang w:val="es-ES" w:eastAsia="es-ES"/>
        </w:rPr>
        <w:br/>
      </w:r>
      <w:r>
        <w:rPr>
          <w:rStyle w:val="CharacterStyle3"/>
          <w:rFonts w:ascii="Bookman Old Style" w:hAnsi="Bookman Old Style" w:cs="Bookman Old Style"/>
          <w:spacing w:val="2"/>
          <w:sz w:val="24"/>
          <w:szCs w:val="24"/>
          <w:lang w:val="es-ES" w:eastAsia="es-ES"/>
        </w:rPr>
        <w:t>concesión del servicio público de taxi, según "REGLAMENTO DEL PRIMER</w:t>
      </w:r>
      <w:r>
        <w:rPr>
          <w:rStyle w:val="CharacterStyle3"/>
          <w:rFonts w:ascii="Bookman Old Style" w:hAnsi="Bookman Old Style" w:cs="Bookman Old Style"/>
          <w:spacing w:val="2"/>
          <w:sz w:val="24"/>
          <w:szCs w:val="24"/>
          <w:lang w:val="es-ES" w:eastAsia="es-ES"/>
        </w:rPr>
        <w:br/>
      </w:r>
      <w:r>
        <w:rPr>
          <w:rStyle w:val="CharacterStyle3"/>
          <w:rFonts w:ascii="Bookman Old Style" w:hAnsi="Bookman Old Style" w:cs="Bookman Old Style"/>
          <w:spacing w:val="38"/>
          <w:sz w:val="24"/>
          <w:szCs w:val="24"/>
          <w:lang w:val="es-ES" w:eastAsia="es-ES"/>
        </w:rPr>
        <w:t xml:space="preserve">PROCEDIMIENTO ESPECIAL ABREVIADO PARA EL TRANSPORTE </w:t>
      </w:r>
      <w:r>
        <w:rPr>
          <w:rStyle w:val="CharacterStyle3"/>
          <w:rFonts w:ascii="Bookman Old Style" w:hAnsi="Bookman Old Style" w:cs="Bookman Old Style"/>
          <w:spacing w:val="-10"/>
          <w:sz w:val="24"/>
          <w:szCs w:val="24"/>
          <w:lang w:val="es-ES" w:eastAsia="es-ES"/>
        </w:rPr>
        <w:t>REMUNERADO DE PERSONAS EN VEHICULOS EN LA MODALIDAD DE TAXI".</w:t>
      </w:r>
    </w:p>
    <w:p w:rsidR="00027DCE" w:rsidRDefault="00027DCE" w:rsidP="00027DCE">
      <w:pPr>
        <w:pStyle w:val="Style3"/>
        <w:tabs>
          <w:tab w:val="left" w:pos="5434"/>
        </w:tabs>
        <w:kinsoku w:val="0"/>
        <w:autoSpaceDE/>
        <w:autoSpaceDN/>
        <w:adjustRightInd/>
        <w:spacing w:line="357" w:lineRule="exact"/>
        <w:ind w:left="432"/>
        <w:jc w:val="both"/>
        <w:rPr>
          <w:rStyle w:val="CharacterStyle3"/>
          <w:rFonts w:ascii="Bookman Old Style" w:hAnsi="Bookman Old Style" w:cs="Bookman Old Style"/>
          <w:sz w:val="24"/>
          <w:szCs w:val="24"/>
          <w:lang w:val="es-ES" w:eastAsia="es-ES"/>
        </w:rPr>
      </w:pPr>
      <w:r>
        <w:rPr>
          <w:rStyle w:val="CharacterStyle3"/>
          <w:rFonts w:ascii="Bookman Old Style" w:hAnsi="Bookman Old Style" w:cs="Bookman Old Style"/>
          <w:sz w:val="24"/>
          <w:szCs w:val="24"/>
          <w:lang w:val="es-ES" w:eastAsia="es-ES"/>
        </w:rPr>
        <w:tab/>
      </w:r>
    </w:p>
    <w:p w:rsidR="00027DCE" w:rsidRDefault="00027DCE" w:rsidP="00027DCE">
      <w:pPr>
        <w:pStyle w:val="Style3"/>
        <w:tabs>
          <w:tab w:val="right" w:pos="10099"/>
        </w:tabs>
        <w:kinsoku w:val="0"/>
        <w:autoSpaceDE/>
        <w:autoSpaceDN/>
        <w:adjustRightInd/>
        <w:spacing w:before="72" w:line="297" w:lineRule="exact"/>
        <w:ind w:left="288"/>
        <w:rPr>
          <w:rStyle w:val="CharacterStyle3"/>
          <w:rFonts w:ascii="Bookman Old Style" w:hAnsi="Bookman Old Style" w:cs="Bookman Old Style"/>
          <w:spacing w:val="-10"/>
          <w:sz w:val="24"/>
          <w:szCs w:val="24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-50"/>
          <w:w w:val="25"/>
          <w:sz w:val="38"/>
          <w:szCs w:val="38"/>
          <w:lang w:val="es-ES" w:eastAsia="es-ES"/>
        </w:rPr>
        <w:t xml:space="preserve">_;                            </w:t>
      </w:r>
      <w:r>
        <w:rPr>
          <w:rStyle w:val="CharacterStyle3"/>
          <w:rFonts w:ascii="Bookman Old Style" w:hAnsi="Bookman Old Style" w:cs="Bookman Old Style"/>
          <w:b/>
          <w:bCs/>
          <w:spacing w:val="-50"/>
          <w:w w:val="25"/>
          <w:sz w:val="38"/>
          <w:szCs w:val="38"/>
          <w:lang w:val="es-ES" w:eastAsia="es-ES"/>
        </w:rPr>
        <w:tab/>
      </w:r>
      <w:r>
        <w:rPr>
          <w:rStyle w:val="CharacterStyle3"/>
          <w:b/>
          <w:bCs/>
          <w:spacing w:val="-10"/>
          <w:sz w:val="25"/>
          <w:szCs w:val="25"/>
          <w:lang w:val="es-ES" w:eastAsia="es-ES"/>
        </w:rPr>
        <w:t xml:space="preserve">TERCERO: </w:t>
      </w:r>
      <w:r>
        <w:rPr>
          <w:rStyle w:val="CharacterStyle3"/>
          <w:rFonts w:ascii="Bookman Old Style" w:hAnsi="Bookman Old Style" w:cs="Bookman Old Style"/>
          <w:spacing w:val="-10"/>
          <w:sz w:val="24"/>
          <w:szCs w:val="24"/>
          <w:lang w:val="es-ES" w:eastAsia="es-ES"/>
        </w:rPr>
        <w:t>Que mediante formulario N</w:t>
      </w:r>
      <w:proofErr w:type="gramStart"/>
      <w:r>
        <w:rPr>
          <w:rStyle w:val="CharacterStyle3"/>
          <w:rFonts w:ascii="Bookman Old Style" w:hAnsi="Bookman Old Style" w:cs="Bookman Old Style"/>
          <w:spacing w:val="-10"/>
          <w:sz w:val="24"/>
          <w:szCs w:val="24"/>
          <w:lang w:val="es-ES" w:eastAsia="es-ES"/>
        </w:rPr>
        <w:t>° …</w:t>
      </w:r>
      <w:proofErr w:type="gramEnd"/>
      <w:r>
        <w:rPr>
          <w:rStyle w:val="CharacterStyle3"/>
          <w:rFonts w:ascii="Bookman Old Style" w:hAnsi="Bookman Old Style" w:cs="Bookman Old Style"/>
          <w:spacing w:val="-10"/>
          <w:sz w:val="24"/>
          <w:szCs w:val="24"/>
          <w:lang w:val="es-ES" w:eastAsia="es-ES"/>
        </w:rPr>
        <w:t>, de fecha 23 de enero del 2001, el</w:t>
      </w:r>
    </w:p>
    <w:p w:rsidR="00027DCE" w:rsidRDefault="00027DCE" w:rsidP="00027DCE">
      <w:pPr>
        <w:pStyle w:val="Style3"/>
        <w:kinsoku w:val="0"/>
        <w:autoSpaceDE/>
        <w:autoSpaceDN/>
        <w:adjustRightInd/>
        <w:spacing w:line="274" w:lineRule="exact"/>
        <w:ind w:left="1224" w:right="72"/>
        <w:jc w:val="both"/>
        <w:rPr>
          <w:rStyle w:val="CharacterStyle3"/>
          <w:rFonts w:ascii="Bookman Old Style" w:hAnsi="Bookman Old Style" w:cs="Bookman Old Style"/>
          <w:spacing w:val="-14"/>
          <w:sz w:val="24"/>
          <w:szCs w:val="24"/>
          <w:lang w:val="es-ES" w:eastAsia="es-ES"/>
        </w:rPr>
      </w:pPr>
      <w:proofErr w:type="gramStart"/>
      <w:r>
        <w:rPr>
          <w:rStyle w:val="CharacterStyle3"/>
          <w:rFonts w:ascii="Bookman Old Style" w:hAnsi="Bookman Old Style" w:cs="Bookman Old Style"/>
          <w:spacing w:val="-14"/>
          <w:sz w:val="24"/>
          <w:szCs w:val="24"/>
          <w:lang w:val="es-ES" w:eastAsia="es-ES"/>
        </w:rPr>
        <w:t>recurrente</w:t>
      </w:r>
      <w:proofErr w:type="gramEnd"/>
      <w:r>
        <w:rPr>
          <w:rStyle w:val="CharacterStyle3"/>
          <w:rFonts w:ascii="Bookman Old Style" w:hAnsi="Bookman Old Style" w:cs="Bookman Old Style"/>
          <w:spacing w:val="-14"/>
          <w:sz w:val="24"/>
          <w:szCs w:val="24"/>
          <w:lang w:val="es-ES" w:eastAsia="es-ES"/>
        </w:rPr>
        <w:t xml:space="preserve"> participó en el concurso público, ante el Consejo de Transporte Público, </w:t>
      </w:r>
      <w:r>
        <w:rPr>
          <w:rStyle w:val="CharacterStyle3"/>
          <w:rFonts w:ascii="Bookman Old Style" w:hAnsi="Bookman Old Style" w:cs="Bookman Old Style"/>
          <w:spacing w:val="-15"/>
          <w:sz w:val="24"/>
          <w:szCs w:val="24"/>
          <w:lang w:val="es-ES" w:eastAsia="es-ES"/>
        </w:rPr>
        <w:t xml:space="preserve">ofertando para la base de operación </w:t>
      </w: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30 5010, </w:t>
      </w:r>
      <w:r>
        <w:rPr>
          <w:rStyle w:val="CharacterStyle3"/>
          <w:rFonts w:ascii="Bookman Old Style" w:hAnsi="Bookman Old Style" w:cs="Bookman Old Style"/>
          <w:spacing w:val="-15"/>
          <w:sz w:val="24"/>
          <w:szCs w:val="24"/>
          <w:lang w:val="es-ES" w:eastAsia="es-ES"/>
        </w:rPr>
        <w:t xml:space="preserve">con vehículo tipo </w:t>
      </w: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RURAL </w:t>
      </w:r>
      <w:r>
        <w:rPr>
          <w:rStyle w:val="CharacterStyle3"/>
          <w:rFonts w:ascii="Bookman Old Style" w:hAnsi="Bookman Old Style" w:cs="Bookman Old Style"/>
          <w:spacing w:val="-15"/>
          <w:sz w:val="24"/>
          <w:szCs w:val="24"/>
          <w:lang w:val="es-ES" w:eastAsia="es-ES"/>
        </w:rPr>
        <w:t xml:space="preserve">(ver a folios 13 </w:t>
      </w:r>
      <w:r>
        <w:rPr>
          <w:rStyle w:val="CharacterStyle3"/>
          <w:i/>
          <w:iCs/>
          <w:spacing w:val="-15"/>
          <w:sz w:val="24"/>
          <w:szCs w:val="24"/>
          <w:lang w:val="es-ES" w:eastAsia="es-ES"/>
        </w:rPr>
        <w:t xml:space="preserve">y </w:t>
      </w:r>
      <w:r>
        <w:rPr>
          <w:rStyle w:val="CharacterStyle3"/>
          <w:rFonts w:ascii="Bookman Old Style" w:hAnsi="Bookman Old Style" w:cs="Bookman Old Style"/>
          <w:spacing w:val="-18"/>
          <w:sz w:val="24"/>
          <w:szCs w:val="24"/>
          <w:lang w:val="es-ES" w:eastAsia="es-ES"/>
        </w:rPr>
        <w:t xml:space="preserve">14 del expediente administrativo). Sin embargo, esta base corresponde a vehículos tipo </w:t>
      </w:r>
      <w:r>
        <w:rPr>
          <w:rStyle w:val="CharacterStyle3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 xml:space="preserve">sedán. En la hoja de presentación de oferta el recurrente consigna una base de operación </w:t>
      </w:r>
      <w:r>
        <w:rPr>
          <w:rStyle w:val="CharacterStyle3"/>
          <w:rFonts w:ascii="Bookman Old Style" w:hAnsi="Bookman Old Style" w:cs="Bookman Old Style"/>
          <w:spacing w:val="-18"/>
          <w:sz w:val="24"/>
          <w:szCs w:val="24"/>
          <w:lang w:val="es-ES" w:eastAsia="es-ES"/>
        </w:rPr>
        <w:t xml:space="preserve">(305019) diferente a la señalada en el formulario de oferta. (Ver folio 15 del expediente </w:t>
      </w:r>
      <w:r>
        <w:rPr>
          <w:rStyle w:val="CharacterStyle3"/>
          <w:rFonts w:ascii="Bookman Old Style" w:hAnsi="Bookman Old Style" w:cs="Bookman Old Style"/>
          <w:spacing w:val="-14"/>
          <w:sz w:val="24"/>
          <w:szCs w:val="24"/>
          <w:lang w:val="es-ES" w:eastAsia="es-ES"/>
        </w:rPr>
        <w:t>administrativo).</w:t>
      </w:r>
    </w:p>
    <w:p w:rsidR="00027DCE" w:rsidRDefault="00027DCE" w:rsidP="00027DCE">
      <w:pPr>
        <w:pStyle w:val="Style3"/>
        <w:kinsoku w:val="0"/>
        <w:autoSpaceDE/>
        <w:autoSpaceDN/>
        <w:adjustRightInd/>
        <w:spacing w:before="180" w:line="279" w:lineRule="exact"/>
        <w:ind w:left="1224" w:right="72"/>
        <w:jc w:val="both"/>
        <w:rPr>
          <w:rStyle w:val="CharacterStyle3"/>
          <w:rFonts w:ascii="Bookman Old Style" w:hAnsi="Bookman Old Style" w:cs="Bookman Old Style"/>
          <w:spacing w:val="-16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18"/>
          <w:sz w:val="25"/>
          <w:szCs w:val="25"/>
          <w:lang w:val="es-ES" w:eastAsia="es-ES"/>
        </w:rPr>
        <w:t xml:space="preserve">CUARTO: </w:t>
      </w:r>
      <w:r>
        <w:rPr>
          <w:rStyle w:val="CharacterStyle3"/>
          <w:rFonts w:ascii="Bookman Old Style" w:hAnsi="Bookman Old Style" w:cs="Bookman Old Style"/>
          <w:spacing w:val="-18"/>
          <w:sz w:val="24"/>
          <w:szCs w:val="24"/>
          <w:lang w:val="es-ES" w:eastAsia="es-ES"/>
        </w:rPr>
        <w:t xml:space="preserve">El Consejo de Transporte Público, mediante acuerdo firme, publicado en el </w:t>
      </w:r>
      <w:r>
        <w:rPr>
          <w:rStyle w:val="CharacterStyle3"/>
          <w:rFonts w:ascii="Bookman Old Style" w:hAnsi="Bookman Old Style" w:cs="Bookman Old Style"/>
          <w:spacing w:val="-17"/>
          <w:sz w:val="24"/>
          <w:szCs w:val="24"/>
          <w:lang w:val="es-ES" w:eastAsia="es-ES"/>
        </w:rPr>
        <w:t xml:space="preserve">Alcance N° 66 a La Gaceta N° 171, de fecha 6 de setiembre del 2001, estableció el listado </w:t>
      </w:r>
      <w:r>
        <w:rPr>
          <w:rStyle w:val="CharacterStyle3"/>
          <w:rFonts w:ascii="Bookman Old Style" w:hAnsi="Bookman Old Style" w:cs="Bookman Old Style"/>
          <w:spacing w:val="-19"/>
          <w:sz w:val="24"/>
          <w:szCs w:val="24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3"/>
          <w:rFonts w:ascii="Bookman Old Style" w:hAnsi="Bookman Old Style" w:cs="Bookman Old Style"/>
          <w:spacing w:val="-18"/>
          <w:sz w:val="24"/>
          <w:szCs w:val="24"/>
          <w:lang w:val="es-ES" w:eastAsia="es-ES"/>
        </w:rPr>
        <w:t xml:space="preserve">cada uno de los participantes, en la cual consigna al recurrente una calificación de 80 </w:t>
      </w:r>
      <w:r>
        <w:rPr>
          <w:rStyle w:val="CharacterStyle3"/>
          <w:rFonts w:ascii="Bookman Old Style" w:hAnsi="Bookman Old Style" w:cs="Bookman Old Style"/>
          <w:spacing w:val="-16"/>
          <w:sz w:val="24"/>
          <w:szCs w:val="24"/>
          <w:lang w:val="es-ES" w:eastAsia="es-ES"/>
        </w:rPr>
        <w:t>puntos.</w:t>
      </w:r>
    </w:p>
    <w:p w:rsidR="00027DCE" w:rsidRDefault="00027DCE" w:rsidP="00027DCE">
      <w:pPr>
        <w:widowControl/>
        <w:kinsoku/>
        <w:autoSpaceDE w:val="0"/>
        <w:autoSpaceDN w:val="0"/>
        <w:adjustRightInd w:val="0"/>
        <w:sectPr w:rsidR="00027DCE">
          <w:pgSz w:w="12240" w:h="15840"/>
          <w:pgMar w:top="520" w:right="937" w:bottom="1690" w:left="1063" w:header="720" w:footer="720" w:gutter="0"/>
          <w:cols w:space="720"/>
          <w:noEndnote/>
        </w:sectPr>
      </w:pPr>
    </w:p>
    <w:p w:rsidR="00027DCE" w:rsidRDefault="00027DCE" w:rsidP="00027DCE">
      <w:pPr>
        <w:pStyle w:val="Style1"/>
        <w:kinsoku w:val="0"/>
        <w:autoSpaceDE/>
        <w:autoSpaceDN/>
        <w:spacing w:before="0"/>
        <w:rPr>
          <w:rStyle w:val="CharacterStyle1"/>
          <w:spacing w:val="-3"/>
          <w:lang w:val="es-ES" w:eastAsia="es-ES"/>
        </w:rPr>
      </w:pPr>
      <w:r>
        <w:rPr>
          <w:rStyle w:val="CharacterStyle1"/>
          <w:lang w:val="es-ES" w:eastAsia="es-ES"/>
        </w:rPr>
        <w:lastRenderedPageBreak/>
        <w:t xml:space="preserve">QUINTO: El Consejo de Transporte Público, mediante acuerdo firme, publicado en el </w:t>
      </w:r>
      <w:r>
        <w:rPr>
          <w:rStyle w:val="CharacterStyle1"/>
          <w:spacing w:val="-1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2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3"/>
          <w:lang w:val="es-ES" w:eastAsia="es-ES"/>
        </w:rPr>
        <w:t>Abreviado de Taxis, publicadas en el Alcance N° 66 a La Gaceta N° 171, de fecha 6 de setiembre del 2001, en la cual consigna al recurrente una calificación de 80 puntos.</w:t>
      </w:r>
    </w:p>
    <w:p w:rsidR="00027DCE" w:rsidRDefault="00027DCE" w:rsidP="00027DCE">
      <w:pPr>
        <w:pStyle w:val="Style1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spacing w:val="6"/>
          <w:lang w:val="es-ES" w:eastAsia="es-ES"/>
        </w:rPr>
        <w:t xml:space="preserve">SEXTO: El Consejo de Transporte Público, mediante Artículo N° 1 de la Sesión </w:t>
      </w:r>
      <w:r>
        <w:rPr>
          <w:rStyle w:val="CharacterStyle1"/>
          <w:lang w:val="es-ES" w:eastAsia="es-ES"/>
        </w:rPr>
        <w:t xml:space="preserve">Extraordinaria N° 37-2001 de fecha 24 de octubre del 2001, publicado en el Alcance N° </w:t>
      </w:r>
      <w:r>
        <w:rPr>
          <w:rStyle w:val="CharacterStyle1"/>
          <w:spacing w:val="-4"/>
          <w:lang w:val="es-ES" w:eastAsia="es-ES"/>
        </w:rPr>
        <w:t xml:space="preserve">75-A a La Gaceta N° 207, de fecha 29 de octubre del 2001, según Acuerdo N° 3 notifica el </w:t>
      </w:r>
      <w:r>
        <w:rPr>
          <w:rStyle w:val="CharacterStyle1"/>
          <w:spacing w:val="-5"/>
          <w:lang w:val="es-ES" w:eastAsia="es-ES"/>
        </w:rPr>
        <w:t xml:space="preserve">envío al proceso aleatorio de todos los oferentes que obtuvieron una calificación igual a 100 </w:t>
      </w:r>
      <w:r>
        <w:rPr>
          <w:rStyle w:val="CharacterStyle1"/>
          <w:spacing w:val="-2"/>
          <w:lang w:val="es-ES" w:eastAsia="es-ES"/>
        </w:rPr>
        <w:t xml:space="preserve">puntos en la base de operación 305010, en la modalidad de vehículos regulares. En el caso </w:t>
      </w:r>
      <w:r>
        <w:rPr>
          <w:rStyle w:val="CharacterStyle1"/>
          <w:spacing w:val="-4"/>
          <w:lang w:val="es-ES" w:eastAsia="es-ES"/>
        </w:rPr>
        <w:t xml:space="preserve">del recurrente, se excluye del proceso en esta publicación, por cuanto su calificación de 80 </w:t>
      </w:r>
      <w:r>
        <w:rPr>
          <w:rStyle w:val="CharacterStyle1"/>
          <w:spacing w:val="-2"/>
          <w:lang w:val="es-ES" w:eastAsia="es-ES"/>
        </w:rPr>
        <w:t xml:space="preserve">puntos es inferior a la del resto de oferentes que participarán en el proceso aleatorio en esa </w:t>
      </w:r>
      <w:r>
        <w:rPr>
          <w:rStyle w:val="CharacterStyle1"/>
          <w:spacing w:val="-3"/>
          <w:lang w:val="es-ES" w:eastAsia="es-ES"/>
        </w:rPr>
        <w:t xml:space="preserve">base y obtuvieron la máxima calificación, sea ésta 100 puntos. (Ver folios 70 y 71 de la </w:t>
      </w:r>
      <w:r>
        <w:rPr>
          <w:rStyle w:val="CharacterStyle1"/>
          <w:spacing w:val="-4"/>
          <w:lang w:val="es-ES" w:eastAsia="es-ES"/>
        </w:rPr>
        <w:t>publicación).</w:t>
      </w:r>
    </w:p>
    <w:p w:rsidR="00027DCE" w:rsidRDefault="00027DCE" w:rsidP="00027DCE">
      <w:pPr>
        <w:pStyle w:val="Style1"/>
        <w:kinsoku w:val="0"/>
        <w:autoSpaceDE/>
        <w:autoSpaceDN/>
        <w:spacing w:before="216"/>
        <w:rPr>
          <w:rStyle w:val="CharacterStyle1"/>
          <w:spacing w:val="-3"/>
          <w:lang w:val="es-ES" w:eastAsia="es-ES"/>
        </w:rPr>
      </w:pPr>
      <w:r>
        <w:rPr>
          <w:rStyle w:val="CharacterStyle1"/>
          <w:spacing w:val="-6"/>
          <w:lang w:val="es-ES" w:eastAsia="es-ES"/>
        </w:rPr>
        <w:t xml:space="preserve">SETIMO: Que mediante escrito fechado el 05 de noviembre del 2001, el señor </w:t>
      </w:r>
      <w:r>
        <w:rPr>
          <w:rStyle w:val="CharacterStyle1"/>
          <w:rFonts w:ascii="Bookman Old Style" w:hAnsi="Bookman Old Style" w:cs="Bookman Old Style"/>
          <w:b/>
          <w:bCs/>
          <w:spacing w:val="-6"/>
          <w:sz w:val="23"/>
          <w:szCs w:val="23"/>
          <w:lang w:val="es-ES" w:eastAsia="es-ES"/>
        </w:rPr>
        <w:t>GP</w:t>
      </w:r>
      <w:r>
        <w:rPr>
          <w:rStyle w:val="CharacterStyle1"/>
          <w:rFonts w:ascii="Bookman Old Style" w:hAnsi="Bookman Old Style" w:cs="Bookman Old Style"/>
          <w:b/>
          <w:bCs/>
          <w:spacing w:val="3"/>
          <w:sz w:val="23"/>
          <w:szCs w:val="23"/>
          <w:lang w:val="es-ES" w:eastAsia="es-ES"/>
        </w:rPr>
        <w:t xml:space="preserve"> </w:t>
      </w:r>
      <w:r>
        <w:rPr>
          <w:rStyle w:val="CharacterStyle1"/>
          <w:spacing w:val="3"/>
          <w:lang w:val="es-ES" w:eastAsia="es-ES"/>
        </w:rPr>
        <w:t xml:space="preserve">presenta Recurso de revocatoria con Apelación en subsidio contra el acto </w:t>
      </w:r>
      <w:r>
        <w:rPr>
          <w:rStyle w:val="CharacterStyle1"/>
          <w:spacing w:val="-6"/>
          <w:lang w:val="es-ES" w:eastAsia="es-ES"/>
        </w:rPr>
        <w:t xml:space="preserve">Administrativo descrito en el resultando anterior. En él indica que fue excluido sin ninguna </w:t>
      </w:r>
      <w:r>
        <w:rPr>
          <w:rStyle w:val="CharacterStyle1"/>
          <w:spacing w:val="4"/>
          <w:lang w:val="es-ES" w:eastAsia="es-ES"/>
        </w:rPr>
        <w:t xml:space="preserve">justificación del proceso aleatorio y que obtuvo el puntaje máximo para cualquier </w:t>
      </w:r>
      <w:r>
        <w:rPr>
          <w:rStyle w:val="CharacterStyle1"/>
          <w:spacing w:val="-4"/>
          <w:lang w:val="es-ES" w:eastAsia="es-ES"/>
        </w:rPr>
        <w:t xml:space="preserve">participante sin placa. Solicita se recalifique su oferta, pues conforme a su análisis, debió </w:t>
      </w:r>
      <w:r>
        <w:rPr>
          <w:rStyle w:val="CharacterStyle1"/>
          <w:spacing w:val="-3"/>
          <w:lang w:val="es-ES" w:eastAsia="es-ES"/>
        </w:rPr>
        <w:t>aparecer en la lista de oferentes que acudirán al proceso aleatorio.</w:t>
      </w:r>
    </w:p>
    <w:p w:rsidR="00027DCE" w:rsidRDefault="00027DCE" w:rsidP="00027DCE">
      <w:pPr>
        <w:pStyle w:val="Style1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rFonts w:ascii="Bookman Old Style" w:hAnsi="Bookman Old Style" w:cs="Bookman Old Style"/>
          <w:b/>
          <w:bCs/>
          <w:spacing w:val="4"/>
          <w:sz w:val="23"/>
          <w:szCs w:val="23"/>
          <w:lang w:val="es-ES" w:eastAsia="es-ES"/>
        </w:rPr>
        <w:t xml:space="preserve">OCTAVO: </w:t>
      </w:r>
      <w:r>
        <w:rPr>
          <w:rStyle w:val="CharacterStyle1"/>
          <w:spacing w:val="4"/>
          <w:lang w:val="es-ES" w:eastAsia="es-ES"/>
        </w:rPr>
        <w:t xml:space="preserve">Mediante artículo N° 5 el Consejo de Transporte Público en su Sesión </w:t>
      </w:r>
      <w:r>
        <w:rPr>
          <w:rStyle w:val="CharacterStyle1"/>
          <w:spacing w:val="-1"/>
          <w:lang w:val="es-ES" w:eastAsia="es-ES"/>
        </w:rPr>
        <w:t xml:space="preserve">Ordinaria No. 3-2002 del 10 de enero del 2002, acordó rechazar el recurso de revocatoria, </w:t>
      </w:r>
      <w:r>
        <w:rPr>
          <w:rStyle w:val="CharacterStyle1"/>
          <w:spacing w:val="-4"/>
          <w:lang w:val="es-ES" w:eastAsia="es-ES"/>
        </w:rPr>
        <w:t xml:space="preserve">lo anterior con fundamento en las recomendaciones vertidas por la Dirección de Asuntos </w:t>
      </w:r>
      <w:r>
        <w:rPr>
          <w:rStyle w:val="CharacterStyle1"/>
          <w:spacing w:val="-5"/>
          <w:lang w:val="es-ES" w:eastAsia="es-ES"/>
        </w:rPr>
        <w:t xml:space="preserve">Jurídicos del citado Consejo, por medio de oficio N° 020128 del 7 de enero del 2002, y en </w:t>
      </w:r>
      <w:r>
        <w:rPr>
          <w:rStyle w:val="CharacterStyle1"/>
          <w:spacing w:val="-4"/>
          <w:lang w:val="es-ES" w:eastAsia="es-ES"/>
        </w:rPr>
        <w:t>resumen los argumentos de cita:</w:t>
      </w:r>
    </w:p>
    <w:p w:rsidR="00027DCE" w:rsidRDefault="00027DCE" w:rsidP="00027DCE">
      <w:pPr>
        <w:pStyle w:val="Style2"/>
        <w:kinsoku w:val="0"/>
        <w:autoSpaceDE/>
        <w:autoSpaceDN/>
        <w:adjustRightInd/>
        <w:spacing w:before="180"/>
        <w:ind w:right="72" w:firstLine="72"/>
        <w:jc w:val="both"/>
        <w:rPr>
          <w:i/>
          <w:iCs/>
          <w:spacing w:val="13"/>
          <w:lang w:val="es-ES" w:eastAsia="es-ES"/>
        </w:rPr>
      </w:pPr>
      <w:r>
        <w:rPr>
          <w:i/>
          <w:iCs/>
          <w:spacing w:val="-2"/>
          <w:lang w:val="es-ES" w:eastAsia="es-ES"/>
        </w:rPr>
        <w:t xml:space="preserve">"Acoger la recomendación de Asuntos Jurídicos y de conformidad con los artículos 11 en </w:t>
      </w:r>
      <w:r>
        <w:rPr>
          <w:i/>
          <w:iCs/>
          <w:spacing w:val="6"/>
          <w:lang w:val="es-ES" w:eastAsia="es-ES"/>
        </w:rPr>
        <w:t xml:space="preserve">relación al 22 de la Ley de Taxis, No. 7969, transitorio IX de la Ley 7969, Decreto Ejecutivo 28913-MOPT la Ley General de la Administración Pública y la Ley de la </w:t>
      </w:r>
      <w:r>
        <w:rPr>
          <w:i/>
          <w:iCs/>
          <w:spacing w:val="9"/>
          <w:lang w:val="es-ES" w:eastAsia="es-ES"/>
        </w:rPr>
        <w:t xml:space="preserve">Contratación Administrativa, se rechaza el recurso de revocatoria, por cuanto la </w:t>
      </w:r>
      <w:r>
        <w:rPr>
          <w:i/>
          <w:iCs/>
          <w:spacing w:val="2"/>
          <w:lang w:val="es-ES" w:eastAsia="es-ES"/>
        </w:rPr>
        <w:t xml:space="preserve">disconformidad con la norma de la distribución de las concesiones administrativas de taxi </w:t>
      </w:r>
      <w:r>
        <w:rPr>
          <w:i/>
          <w:iCs/>
          <w:spacing w:val="1"/>
          <w:lang w:val="es-ES" w:eastAsia="es-ES"/>
        </w:rPr>
        <w:t xml:space="preserve">y bases de operación, así como demás aspectos regulatorios del Primer Procedimiento </w:t>
      </w:r>
      <w:r>
        <w:rPr>
          <w:i/>
          <w:iCs/>
          <w:spacing w:val="6"/>
          <w:lang w:val="es-ES" w:eastAsia="es-ES"/>
        </w:rPr>
        <w:t xml:space="preserve">Especial Abreviado de Taxis, no es un elemento que deba ser discutido en esta fase </w:t>
      </w:r>
      <w:r>
        <w:rPr>
          <w:i/>
          <w:iCs/>
          <w:spacing w:val="3"/>
          <w:lang w:val="es-ES" w:eastAsia="es-ES"/>
        </w:rPr>
        <w:t xml:space="preserve">procedimental, aunado al hecho de que se ha determinado en cada caso, la procedencia </w:t>
      </w:r>
      <w:r>
        <w:rPr>
          <w:i/>
          <w:iCs/>
          <w:spacing w:val="2"/>
          <w:lang w:val="es-ES" w:eastAsia="es-ES"/>
        </w:rPr>
        <w:t xml:space="preserve">del proceso aleatorio al haberse generado el presupuesto establecido en el numeral 35 de </w:t>
      </w:r>
      <w:r>
        <w:rPr>
          <w:i/>
          <w:iCs/>
          <w:spacing w:val="3"/>
          <w:lang w:val="es-ES" w:eastAsia="es-ES"/>
        </w:rPr>
        <w:t xml:space="preserve">la Ley 7969, tal cual es la existencia de un número mayor de oferentes con calificación </w:t>
      </w:r>
      <w:r>
        <w:rPr>
          <w:i/>
          <w:iCs/>
          <w:spacing w:val="1"/>
          <w:lang w:val="es-ES" w:eastAsia="es-ES"/>
        </w:rPr>
        <w:t xml:space="preserve">igual, que de concesiones administrativas por adjudicar: ... EGP…... 2.- Rechazar por improcedentes los incidentes de nulidad y suspensión de acto. </w:t>
      </w:r>
      <w:r>
        <w:rPr>
          <w:i/>
          <w:iCs/>
          <w:spacing w:val="3"/>
          <w:lang w:val="es-ES" w:eastAsia="es-ES"/>
        </w:rPr>
        <w:t xml:space="preserve">3.- Consecuentemente, debe mantenerse la situación jurídica de los recurrentes según acuerdo 01 de la sesión extraordinaria 037-2001, en lo que respecta a la calificación </w:t>
      </w:r>
      <w:r>
        <w:rPr>
          <w:i/>
          <w:iCs/>
          <w:spacing w:val="13"/>
          <w:lang w:val="es-ES" w:eastAsia="es-ES"/>
        </w:rPr>
        <w:t>otorgada</w:t>
      </w:r>
      <w:proofErr w:type="gramStart"/>
      <w:r>
        <w:rPr>
          <w:i/>
          <w:iCs/>
          <w:spacing w:val="13"/>
          <w:lang w:val="es-ES" w:eastAsia="es-ES"/>
        </w:rPr>
        <w:t>..</w:t>
      </w:r>
      <w:proofErr w:type="gramEnd"/>
      <w:r>
        <w:rPr>
          <w:i/>
          <w:iCs/>
          <w:spacing w:val="13"/>
          <w:lang w:val="es-ES" w:eastAsia="es-ES"/>
        </w:rPr>
        <w:t xml:space="preserve"> 4.- Elevar el recurso de apelación ante el Tribunal Administrativo de</w:t>
      </w:r>
    </w:p>
    <w:p w:rsidR="00027DCE" w:rsidRDefault="00027DCE" w:rsidP="00027DCE">
      <w:pPr>
        <w:widowControl/>
        <w:kinsoku/>
        <w:autoSpaceDE w:val="0"/>
        <w:autoSpaceDN w:val="0"/>
        <w:adjustRightInd w:val="0"/>
        <w:sectPr w:rsidR="00027DCE">
          <w:pgSz w:w="12240" w:h="15840"/>
          <w:pgMar w:top="1692" w:right="1512" w:bottom="1678" w:left="1668" w:header="720" w:footer="720" w:gutter="0"/>
          <w:cols w:space="720"/>
          <w:noEndnote/>
        </w:sectPr>
      </w:pPr>
    </w:p>
    <w:p w:rsidR="00027DCE" w:rsidRDefault="00027DCE" w:rsidP="00027DCE">
      <w:pPr>
        <w:pStyle w:val="Style8"/>
        <w:kinsoku w:val="0"/>
        <w:autoSpaceDE/>
        <w:autoSpaceDN/>
        <w:spacing w:before="0" w:line="235" w:lineRule="auto"/>
        <w:rPr>
          <w:i/>
          <w:iCs/>
          <w:spacing w:val="1"/>
          <w:lang w:val="es-ES" w:eastAsia="es-ES"/>
        </w:rPr>
      </w:pPr>
      <w:r>
        <w:rPr>
          <w:i/>
          <w:iCs/>
          <w:lang w:val="es-ES" w:eastAsia="es-ES"/>
        </w:rPr>
        <w:lastRenderedPageBreak/>
        <w:t xml:space="preserve">Transportes, a efectos de lo cual se emplaza a los recurrentes ante dicho tribunal por un </w:t>
      </w:r>
      <w:r>
        <w:rPr>
          <w:i/>
          <w:iCs/>
          <w:spacing w:val="5"/>
          <w:lang w:val="es-ES" w:eastAsia="es-ES"/>
        </w:rPr>
        <w:t xml:space="preserve">plazo de cinco días hábiles contados a partir de la comunicación del presente acto, </w:t>
      </w:r>
      <w:r>
        <w:rPr>
          <w:i/>
          <w:iCs/>
          <w:spacing w:val="2"/>
          <w:lang w:val="es-ES" w:eastAsia="es-ES"/>
        </w:rPr>
        <w:t xml:space="preserve">conforme lo dispone </w:t>
      </w:r>
      <w:r>
        <w:rPr>
          <w:i/>
          <w:iCs/>
          <w:spacing w:val="-8"/>
          <w:w w:val="105"/>
          <w:sz w:val="25"/>
          <w:szCs w:val="25"/>
          <w:lang w:val="es-ES" w:eastAsia="es-ES"/>
        </w:rPr>
        <w:t xml:space="preserve">el numeral 11 </w:t>
      </w:r>
      <w:r>
        <w:rPr>
          <w:i/>
          <w:iCs/>
          <w:spacing w:val="2"/>
          <w:lang w:val="es-ES" w:eastAsia="es-ES"/>
        </w:rPr>
        <w:t xml:space="preserve">en relación al 22 de la ley Reguladora del Servicio Público del Transporte </w:t>
      </w:r>
      <w:r>
        <w:rPr>
          <w:i/>
          <w:iCs/>
          <w:spacing w:val="-8"/>
          <w:w w:val="105"/>
          <w:sz w:val="25"/>
          <w:szCs w:val="25"/>
          <w:lang w:val="es-ES" w:eastAsia="es-ES"/>
        </w:rPr>
        <w:t xml:space="preserve">Remunerado de Personas en Vehículos en </w:t>
      </w:r>
      <w:r>
        <w:rPr>
          <w:i/>
          <w:iCs/>
          <w:spacing w:val="2"/>
          <w:lang w:val="es-ES" w:eastAsia="es-ES"/>
        </w:rPr>
        <w:t xml:space="preserve">la Modalidad de Taxi, </w:t>
      </w:r>
      <w:r>
        <w:rPr>
          <w:i/>
          <w:iCs/>
          <w:spacing w:val="1"/>
          <w:lang w:val="es-ES" w:eastAsia="es-ES"/>
        </w:rPr>
        <w:t xml:space="preserve">No. 7969 del 22 de diciembre de 1999. 5.- </w:t>
      </w:r>
      <w:proofErr w:type="spellStart"/>
      <w:r>
        <w:rPr>
          <w:i/>
          <w:iCs/>
          <w:spacing w:val="1"/>
          <w:lang w:val="es-ES" w:eastAsia="es-ES"/>
        </w:rPr>
        <w:t>Notifiquese</w:t>
      </w:r>
      <w:proofErr w:type="spellEnd"/>
      <w:r>
        <w:rPr>
          <w:i/>
          <w:iCs/>
          <w:spacing w:val="1"/>
          <w:lang w:val="es-ES" w:eastAsia="es-ES"/>
        </w:rPr>
        <w:t>."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252" w:line="463" w:lineRule="auto"/>
        <w:ind w:left="72" w:right="432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pacing w:val="-17"/>
          <w:sz w:val="25"/>
          <w:szCs w:val="25"/>
          <w:lang w:val="es-ES" w:eastAsia="es-ES"/>
        </w:rPr>
        <w:t xml:space="preserve">NOVENO: </w:t>
      </w:r>
      <w:r>
        <w:rPr>
          <w:spacing w:val="-7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2"/>
          <w:sz w:val="25"/>
          <w:szCs w:val="25"/>
          <w:lang w:val="es-ES" w:eastAsia="es-ES"/>
        </w:rPr>
        <w:t>Redacta la Jueza Pérez Peláez; y,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360" w:line="201" w:lineRule="auto"/>
        <w:jc w:val="center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027DCE" w:rsidRDefault="00027DCE" w:rsidP="00027DCE">
      <w:pPr>
        <w:pStyle w:val="Style8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 w:line="230" w:lineRule="auto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SOBRE LA COMPETENCIA: </w:t>
      </w:r>
      <w:r>
        <w:rPr>
          <w:spacing w:val="8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8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sz w:val="25"/>
          <w:szCs w:val="25"/>
          <w:lang w:val="es-ES" w:eastAsia="es-ES"/>
        </w:rPr>
        <w:softHyphen/>
      </w:r>
      <w:r>
        <w:rPr>
          <w:spacing w:val="-4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sz w:val="25"/>
          <w:szCs w:val="25"/>
          <w:lang w:val="es-ES" w:eastAsia="es-ES"/>
        </w:rPr>
        <w:t>presente recurso de apelación.</w:t>
      </w:r>
    </w:p>
    <w:p w:rsidR="00027DCE" w:rsidRDefault="00027DCE" w:rsidP="00027DCE">
      <w:pPr>
        <w:pStyle w:val="Style8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88" w:line="228" w:lineRule="auto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14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4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4"/>
          <w:sz w:val="25"/>
          <w:szCs w:val="25"/>
          <w:lang w:val="es-ES" w:eastAsia="es-ES"/>
        </w:rPr>
        <w:t xml:space="preserve"> El </w:t>
      </w:r>
      <w:r>
        <w:rPr>
          <w:spacing w:val="3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7"/>
          <w:sz w:val="25"/>
          <w:szCs w:val="25"/>
          <w:lang w:val="es-ES" w:eastAsia="es-ES"/>
        </w:rPr>
        <w:t xml:space="preserve">EGP, </w:t>
      </w:r>
      <w:r>
        <w:rPr>
          <w:spacing w:val="3"/>
          <w:sz w:val="25"/>
          <w:szCs w:val="25"/>
          <w:lang w:val="es-ES" w:eastAsia="es-ES"/>
        </w:rPr>
        <w:t xml:space="preserve">quien es oferente del </w:t>
      </w:r>
      <w:r>
        <w:rPr>
          <w:spacing w:val="-6"/>
          <w:sz w:val="25"/>
          <w:szCs w:val="25"/>
          <w:lang w:val="es-ES" w:eastAsia="es-ES"/>
        </w:rPr>
        <w:t xml:space="preserve">concurso público.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6"/>
          <w:sz w:val="25"/>
          <w:szCs w:val="25"/>
          <w:lang w:val="es-ES" w:eastAsia="es-ES"/>
        </w:rPr>
        <w:t xml:space="preserve"> Conforme al estudio </w:t>
      </w:r>
      <w:r>
        <w:rPr>
          <w:spacing w:val="-4"/>
          <w:sz w:val="25"/>
          <w:szCs w:val="25"/>
          <w:lang w:val="es-ES" w:eastAsia="es-ES"/>
        </w:rPr>
        <w:t xml:space="preserve">efectuado el Recurso de Revocatoria con Apelación en subsidio fue presentado dentro del </w:t>
      </w:r>
      <w:r>
        <w:rPr>
          <w:sz w:val="25"/>
          <w:szCs w:val="25"/>
          <w:lang w:val="es-ES" w:eastAsia="es-ES"/>
        </w:rPr>
        <w:t xml:space="preserve">plazo legal establecido para tal fin, en los términos del artículo 11 de la Ley Reguladora </w:t>
      </w:r>
      <w:r>
        <w:rPr>
          <w:spacing w:val="-2"/>
          <w:sz w:val="25"/>
          <w:szCs w:val="25"/>
          <w:lang w:val="es-ES" w:eastAsia="es-ES"/>
        </w:rPr>
        <w:t xml:space="preserve">del Servicio Público de Transporte Remunerado de Personas en vehículos en la modalidad </w:t>
      </w:r>
      <w:r>
        <w:rPr>
          <w:spacing w:val="-4"/>
          <w:sz w:val="25"/>
          <w:szCs w:val="25"/>
          <w:lang w:val="es-ES" w:eastAsia="es-ES"/>
        </w:rPr>
        <w:t>de taxi, Ley N° 7969, del 28 de enero del 2000.</w:t>
      </w:r>
    </w:p>
    <w:p w:rsidR="00027DCE" w:rsidRDefault="00027DCE" w:rsidP="00027DCE">
      <w:pPr>
        <w:pStyle w:val="Style8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88" w:line="228" w:lineRule="auto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>SOBRE LOS HECHOS PROBADOS.</w:t>
      </w:r>
      <w:r>
        <w:rPr>
          <w:rFonts w:ascii="Bookman Old Style" w:hAnsi="Bookman Old Style" w:cs="Bookman Old Style"/>
          <w:b/>
          <w:bCs/>
          <w:spacing w:val="5"/>
          <w:sz w:val="6"/>
          <w:szCs w:val="6"/>
          <w:lang w:val="es-ES" w:eastAsia="es-ES"/>
        </w:rPr>
        <w:t xml:space="preserve">- </w:t>
      </w:r>
      <w:r>
        <w:rPr>
          <w:spacing w:val="5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-1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-11"/>
          <w:sz w:val="25"/>
          <w:szCs w:val="25"/>
          <w:lang w:val="es-ES" w:eastAsia="es-ES"/>
        </w:rPr>
        <w:t>A).</w:t>
      </w:r>
      <w:r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spacing w:val="-1"/>
          <w:sz w:val="25"/>
          <w:szCs w:val="25"/>
          <w:lang w:val="es-ES" w:eastAsia="es-ES"/>
        </w:rPr>
        <w:t xml:space="preserve">Que mediante Decreto Ejecutivo N° 28913-MOPT y su reforma, </w:t>
      </w:r>
      <w:r>
        <w:rPr>
          <w:spacing w:val="2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>
        <w:rPr>
          <w:spacing w:val="-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>
        <w:rPr>
          <w:sz w:val="25"/>
          <w:szCs w:val="25"/>
          <w:lang w:val="es-ES" w:eastAsia="es-ES"/>
        </w:rPr>
        <w:t xml:space="preserve">PRIMER PROCEDIMIENTO ESPECIAL ABREVIADO PARA EL TRANSPORTE </w:t>
      </w:r>
      <w:r>
        <w:rPr>
          <w:spacing w:val="-3"/>
          <w:sz w:val="25"/>
          <w:szCs w:val="25"/>
          <w:lang w:val="es-ES" w:eastAsia="es-ES"/>
        </w:rPr>
        <w:t xml:space="preserve">REMUNERADO DE PERSONAS EN VEHICULOS EN LA MODALIDAD DE TAXI" </w:t>
      </w:r>
      <w:r>
        <w:rPr>
          <w:spacing w:val="-2"/>
          <w:sz w:val="25"/>
          <w:szCs w:val="25"/>
          <w:lang w:val="es-ES" w:eastAsia="es-ES"/>
        </w:rPr>
        <w:t xml:space="preserve">B).- Que mediante formulario N° …, de fecha 23 de enero de 2001, el recurrente participó en el concurso público, ante el Consejo de Transporte Público, ofertando para la </w:t>
      </w:r>
      <w:r>
        <w:rPr>
          <w:spacing w:val="9"/>
          <w:sz w:val="25"/>
          <w:szCs w:val="25"/>
          <w:lang w:val="es-ES" w:eastAsia="es-ES"/>
        </w:rPr>
        <w:t xml:space="preserve">base de operación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30 50 10, </w:t>
      </w:r>
      <w:r>
        <w:rPr>
          <w:spacing w:val="9"/>
          <w:sz w:val="25"/>
          <w:szCs w:val="25"/>
          <w:lang w:val="es-ES" w:eastAsia="es-ES"/>
        </w:rPr>
        <w:t xml:space="preserve">con vehículo tipo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RURAL. </w:t>
      </w:r>
      <w:r>
        <w:rPr>
          <w:spacing w:val="9"/>
          <w:sz w:val="25"/>
          <w:szCs w:val="25"/>
          <w:lang w:val="es-ES" w:eastAsia="es-ES"/>
        </w:rPr>
        <w:t xml:space="preserve">(Ver folios 13 y 14 del </w:t>
      </w:r>
      <w:r>
        <w:rPr>
          <w:spacing w:val="-1"/>
          <w:sz w:val="25"/>
          <w:szCs w:val="25"/>
          <w:lang w:val="es-ES" w:eastAsia="es-ES"/>
        </w:rPr>
        <w:t xml:space="preserve">expediente). C) Que en la hoja de presentación de la oferta el recurrente establece que pretende participar en la base de operación 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30 50 19 </w:t>
      </w:r>
      <w:r>
        <w:rPr>
          <w:spacing w:val="-1"/>
          <w:sz w:val="25"/>
          <w:szCs w:val="25"/>
          <w:lang w:val="es-ES" w:eastAsia="es-ES"/>
        </w:rPr>
        <w:t xml:space="preserve">con vehículo tipo rural. (Ver folio 15 </w:t>
      </w:r>
      <w:r>
        <w:rPr>
          <w:spacing w:val="-4"/>
          <w:sz w:val="25"/>
          <w:szCs w:val="25"/>
          <w:lang w:val="es-ES" w:eastAsia="es-ES"/>
        </w:rPr>
        <w:t>del expediente).</w:t>
      </w:r>
    </w:p>
    <w:p w:rsidR="00027DCE" w:rsidRDefault="00027DCE" w:rsidP="00027DCE">
      <w:pPr>
        <w:widowControl/>
        <w:kinsoku/>
        <w:autoSpaceDE w:val="0"/>
        <w:autoSpaceDN w:val="0"/>
        <w:adjustRightInd w:val="0"/>
        <w:sectPr w:rsidR="00027DCE">
          <w:pgSz w:w="12240" w:h="15840"/>
          <w:pgMar w:top="1160" w:right="1647" w:bottom="2210" w:left="1533" w:header="720" w:footer="720" w:gutter="0"/>
          <w:cols w:space="720"/>
          <w:noEndnote/>
        </w:sectPr>
      </w:pPr>
    </w:p>
    <w:p w:rsidR="00027DCE" w:rsidRDefault="00027DCE" w:rsidP="00027DCE">
      <w:pPr>
        <w:pStyle w:val="Style5"/>
        <w:numPr>
          <w:ilvl w:val="0"/>
          <w:numId w:val="2"/>
        </w:numPr>
        <w:tabs>
          <w:tab w:val="clear" w:pos="360"/>
          <w:tab w:val="num" w:pos="432"/>
          <w:tab w:val="right" w:pos="9744"/>
        </w:tabs>
        <w:kinsoku w:val="0"/>
        <w:autoSpaceDE/>
        <w:autoSpaceDN/>
        <w:adjustRightInd/>
        <w:spacing w:line="480" w:lineRule="auto"/>
        <w:rPr>
          <w:spacing w:val="-3"/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lastRenderedPageBreak/>
        <w:t>HECHOS NO PROBADOS.-</w:t>
      </w:r>
      <w:r>
        <w:rPr>
          <w:spacing w:val="10"/>
          <w:sz w:val="25"/>
          <w:szCs w:val="25"/>
          <w:lang w:val="es-ES" w:eastAsia="es-ES"/>
        </w:rPr>
        <w:tab/>
      </w:r>
      <w:r>
        <w:rPr>
          <w:spacing w:val="-3"/>
          <w:sz w:val="25"/>
          <w:szCs w:val="25"/>
          <w:lang w:val="es-ES" w:eastAsia="es-ES"/>
        </w:rPr>
        <w:t>Ninguno de importancia para la resolución del presente asunto.</w:t>
      </w:r>
    </w:p>
    <w:p w:rsidR="00027DCE" w:rsidRDefault="00027DCE" w:rsidP="00027DCE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01" w:lineRule="auto"/>
        <w:rPr>
          <w:spacing w:val="20"/>
          <w:sz w:val="25"/>
          <w:szCs w:val="25"/>
          <w:lang w:val="es-ES" w:eastAsia="es-ES"/>
        </w:rPr>
      </w:pPr>
      <w:r>
        <w:rPr>
          <w:spacing w:val="20"/>
          <w:sz w:val="25"/>
          <w:szCs w:val="25"/>
          <w:lang w:val="es-ES" w:eastAsia="es-ES"/>
        </w:rPr>
        <w:t>SOBRE EL FONDO.-</w:t>
      </w:r>
    </w:p>
    <w:p w:rsidR="00027DCE" w:rsidRDefault="00027DCE" w:rsidP="00027DCE">
      <w:pPr>
        <w:pStyle w:val="Style6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Analizado el escrito presentado por el señor </w:t>
      </w:r>
      <w:r>
        <w:rPr>
          <w:rFonts w:ascii="Bookman Old Style" w:hAnsi="Bookman Old Style" w:cs="Bookman Old Style"/>
          <w:b/>
          <w:bCs/>
          <w:spacing w:val="-1"/>
          <w:lang w:val="es-ES" w:eastAsia="es-ES"/>
        </w:rPr>
        <w:t xml:space="preserve">GP, </w:t>
      </w:r>
      <w:r>
        <w:rPr>
          <w:spacing w:val="-1"/>
          <w:sz w:val="25"/>
          <w:szCs w:val="25"/>
          <w:lang w:val="es-ES" w:eastAsia="es-ES"/>
        </w:rPr>
        <w:t xml:space="preserve">encabezado como </w:t>
      </w:r>
      <w:r>
        <w:rPr>
          <w:spacing w:val="-3"/>
          <w:sz w:val="25"/>
          <w:szCs w:val="25"/>
          <w:lang w:val="es-ES" w:eastAsia="es-ES"/>
        </w:rPr>
        <w:t xml:space="preserve">"Recurso de Revocatoria y Apelación en subsidio" en el fondo el mismo se reduce a una </w:t>
      </w:r>
      <w:r>
        <w:rPr>
          <w:spacing w:val="-5"/>
          <w:sz w:val="25"/>
          <w:szCs w:val="25"/>
          <w:lang w:val="es-ES" w:eastAsia="es-ES"/>
        </w:rPr>
        <w:t xml:space="preserve">simple solicitud, en la que pide ayuda para que se recalifique su oferta y se le incluya en el </w:t>
      </w:r>
      <w:r>
        <w:rPr>
          <w:spacing w:val="-4"/>
          <w:sz w:val="25"/>
          <w:szCs w:val="25"/>
          <w:lang w:val="es-ES" w:eastAsia="es-ES"/>
        </w:rPr>
        <w:t>proceso aleatorio.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180"/>
        <w:ind w:right="864"/>
        <w:jc w:val="both"/>
        <w:rPr>
          <w:spacing w:val="-8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De la oferta presentada por el recurrente, tal y como ha quedado demostrado, participó en dos bases de operación una la </w:t>
      </w:r>
      <w:r>
        <w:rPr>
          <w:rFonts w:ascii="Bookman Old Style" w:hAnsi="Bookman Old Style" w:cs="Bookman Old Style"/>
          <w:b/>
          <w:bCs/>
          <w:spacing w:val="-2"/>
          <w:lang w:val="es-ES" w:eastAsia="es-ES"/>
        </w:rPr>
        <w:t xml:space="preserve">305010 </w:t>
      </w:r>
      <w:proofErr w:type="gramStart"/>
      <w:r>
        <w:rPr>
          <w:rFonts w:ascii="Bookman Old Style" w:hAnsi="Bookman Old Style" w:cs="Bookman Old Style"/>
          <w:b/>
          <w:bCs/>
          <w:spacing w:val="-2"/>
          <w:lang w:val="es-ES" w:eastAsia="es-ES"/>
        </w:rPr>
        <w:t xml:space="preserve">( </w:t>
      </w:r>
      <w:r>
        <w:rPr>
          <w:spacing w:val="-2"/>
          <w:sz w:val="25"/>
          <w:szCs w:val="25"/>
          <w:lang w:val="es-ES" w:eastAsia="es-ES"/>
        </w:rPr>
        <w:t>visible</w:t>
      </w:r>
      <w:proofErr w:type="gramEnd"/>
      <w:r>
        <w:rPr>
          <w:spacing w:val="-2"/>
          <w:sz w:val="25"/>
          <w:szCs w:val="25"/>
          <w:lang w:val="es-ES" w:eastAsia="es-ES"/>
        </w:rPr>
        <w:t xml:space="preserve"> a folio 14 del expediente) y la otra la </w:t>
      </w:r>
      <w:r>
        <w:rPr>
          <w:rFonts w:ascii="Bookman Old Style" w:hAnsi="Bookman Old Style" w:cs="Bookman Old Style"/>
          <w:b/>
          <w:bCs/>
          <w:spacing w:val="-8"/>
          <w:lang w:val="es-ES" w:eastAsia="es-ES"/>
        </w:rPr>
        <w:t xml:space="preserve">305019 </w:t>
      </w:r>
      <w:r>
        <w:rPr>
          <w:spacing w:val="-8"/>
          <w:sz w:val="25"/>
          <w:szCs w:val="25"/>
          <w:lang w:val="es-ES" w:eastAsia="es-ES"/>
        </w:rPr>
        <w:t>(visible a folio 15 del expediente).</w:t>
      </w:r>
    </w:p>
    <w:p w:rsidR="00027DCE" w:rsidRDefault="00027DCE" w:rsidP="00027DCE">
      <w:pPr>
        <w:pStyle w:val="Style6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Al respecto la Ley Reguladora del Servicio Público de Transporte Remunerado de </w:t>
      </w:r>
      <w:r>
        <w:rPr>
          <w:spacing w:val="-4"/>
          <w:sz w:val="25"/>
          <w:szCs w:val="25"/>
          <w:lang w:val="es-ES" w:eastAsia="es-ES"/>
        </w:rPr>
        <w:t xml:space="preserve">Personas en Vehículos en la Modalidad de Taxi, No. 7969 del 22 de diciembre de 1999, </w:t>
      </w:r>
      <w:r>
        <w:rPr>
          <w:spacing w:val="1"/>
          <w:sz w:val="25"/>
          <w:szCs w:val="25"/>
          <w:lang w:val="es-ES" w:eastAsia="es-ES"/>
        </w:rPr>
        <w:t xml:space="preserve">publicada en La Gaceta No. 20 del 28 de enero del 2000, en su artículo 31 inciso b) </w:t>
      </w:r>
      <w:r>
        <w:rPr>
          <w:sz w:val="25"/>
          <w:szCs w:val="25"/>
          <w:lang w:val="es-ES" w:eastAsia="es-ES"/>
        </w:rPr>
        <w:t xml:space="preserve">establece la prohibición de participar en más de una base de operación, en concordancia </w:t>
      </w:r>
      <w:r>
        <w:rPr>
          <w:spacing w:val="-6"/>
          <w:sz w:val="25"/>
          <w:szCs w:val="25"/>
          <w:lang w:val="es-ES" w:eastAsia="es-ES"/>
        </w:rPr>
        <w:t xml:space="preserve">con el artículo 16 del Decreto Ejecutivo N° 28913-MOPT y su reforma, publicado el 19 de </w:t>
      </w:r>
      <w:r>
        <w:rPr>
          <w:spacing w:val="1"/>
          <w:sz w:val="25"/>
          <w:szCs w:val="25"/>
          <w:lang w:val="es-ES" w:eastAsia="es-ES"/>
        </w:rPr>
        <w:t xml:space="preserve">setiembre del 2000, el Consejo de Transporte Público, somete a licitación pública la </w:t>
      </w:r>
      <w:r>
        <w:rPr>
          <w:sz w:val="25"/>
          <w:szCs w:val="25"/>
          <w:lang w:val="es-ES" w:eastAsia="es-ES"/>
        </w:rPr>
        <w:t xml:space="preserve">concesión del servicio público de taxi, según "REGLAMENTO DEL PRIMER </w:t>
      </w:r>
      <w:r>
        <w:rPr>
          <w:spacing w:val="21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spacing w:val="-2"/>
          <w:sz w:val="25"/>
          <w:szCs w:val="25"/>
          <w:lang w:val="es-ES" w:eastAsia="es-ES"/>
        </w:rPr>
        <w:t xml:space="preserve">REMUNERADO DE PERSONAS EN VEHICULOS EN LA MODALIDAD DE TAXI", </w:t>
      </w:r>
      <w:r>
        <w:rPr>
          <w:sz w:val="25"/>
          <w:szCs w:val="25"/>
          <w:lang w:val="es-ES" w:eastAsia="es-ES"/>
        </w:rPr>
        <w:t xml:space="preserve">el cual indica que es una norma de exclusión de las ofertas, la participación para más de </w:t>
      </w:r>
      <w:r>
        <w:rPr>
          <w:spacing w:val="-4"/>
          <w:sz w:val="25"/>
          <w:szCs w:val="25"/>
          <w:lang w:val="es-ES" w:eastAsia="es-ES"/>
        </w:rPr>
        <w:t>una base de operación en el presente concurso.</w:t>
      </w:r>
    </w:p>
    <w:p w:rsidR="00027DCE" w:rsidRDefault="00027DCE" w:rsidP="00027DCE">
      <w:pPr>
        <w:pStyle w:val="Style6"/>
        <w:kinsoku w:val="0"/>
        <w:autoSpaceDE/>
        <w:autoSpaceDN/>
        <w:spacing w:before="180"/>
        <w:jc w:val="left"/>
        <w:rPr>
          <w:spacing w:val="-4"/>
          <w:sz w:val="25"/>
          <w:szCs w:val="25"/>
          <w:lang w:val="es-ES" w:eastAsia="es-ES"/>
        </w:rPr>
      </w:pPr>
      <w:r>
        <w:rPr>
          <w:spacing w:val="-6"/>
          <w:sz w:val="25"/>
          <w:szCs w:val="25"/>
          <w:lang w:val="es-ES" w:eastAsia="es-ES"/>
        </w:rPr>
        <w:t xml:space="preserve">De la anterior situación se plantean varios aspectos, los que conducen todos al rechazo de la </w:t>
      </w:r>
      <w:r>
        <w:rPr>
          <w:spacing w:val="-4"/>
          <w:sz w:val="25"/>
          <w:szCs w:val="25"/>
          <w:lang w:val="es-ES" w:eastAsia="es-ES"/>
        </w:rPr>
        <w:t>gestión por los siguientes motivos:</w:t>
      </w:r>
    </w:p>
    <w:p w:rsidR="00027DCE" w:rsidRDefault="00027DCE" w:rsidP="00027DCE">
      <w:pPr>
        <w:pStyle w:val="Style6"/>
        <w:kinsoku w:val="0"/>
        <w:autoSpaceDE/>
        <w:autoSpaceDN/>
        <w:spacing w:before="180"/>
        <w:jc w:val="left"/>
        <w:rPr>
          <w:spacing w:val="-10"/>
          <w:sz w:val="25"/>
          <w:szCs w:val="25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2"/>
          <w:lang w:val="es-ES" w:eastAsia="es-ES"/>
        </w:rPr>
        <w:t>A</w:t>
      </w:r>
      <w:r>
        <w:rPr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>-</w:t>
      </w:r>
      <w:r>
        <w:rPr>
          <w:rFonts w:ascii="Bookman Old Style" w:hAnsi="Bookman Old Style" w:cs="Bookman Old Style"/>
          <w:b/>
          <w:bCs/>
          <w:spacing w:val="-2"/>
          <w:lang w:val="es-ES" w:eastAsia="es-ES"/>
        </w:rPr>
        <w:t xml:space="preserve">. </w:t>
      </w:r>
      <w:r>
        <w:rPr>
          <w:spacing w:val="-2"/>
          <w:sz w:val="25"/>
          <w:szCs w:val="25"/>
          <w:lang w:val="es-ES" w:eastAsia="es-ES"/>
        </w:rPr>
        <w:t xml:space="preserve">De conformidad con el Decreto Ejecutivo N° 28913-MOPT y su reforma, se indica </w:t>
      </w:r>
      <w:r>
        <w:rPr>
          <w:spacing w:val="-10"/>
          <w:sz w:val="25"/>
          <w:szCs w:val="25"/>
          <w:lang w:val="es-ES" w:eastAsia="es-ES"/>
        </w:rPr>
        <w:t xml:space="preserve">claramente en su </w:t>
      </w:r>
      <w:r w:rsidRPr="00A61F10">
        <w:rPr>
          <w:rFonts w:ascii="Bookman Old Style" w:hAnsi="Bookman Old Style" w:cs="Bookman Old Style"/>
          <w:bCs/>
          <w:spacing w:val="-10"/>
          <w:lang w:val="es-ES" w:eastAsia="es-ES"/>
        </w:rPr>
        <w:t>numeral 1, en su NOTA II</w:t>
      </w:r>
      <w:r>
        <w:rPr>
          <w:rFonts w:ascii="Bookman Old Style" w:hAnsi="Bookman Old Style" w:cs="Bookman Old Style"/>
          <w:b/>
          <w:bCs/>
          <w:spacing w:val="-10"/>
          <w:lang w:val="es-ES" w:eastAsia="es-ES"/>
        </w:rPr>
        <w:t xml:space="preserve"> </w:t>
      </w:r>
      <w:r>
        <w:rPr>
          <w:spacing w:val="-10"/>
          <w:sz w:val="25"/>
          <w:szCs w:val="25"/>
          <w:lang w:val="es-ES" w:eastAsia="es-ES"/>
        </w:rPr>
        <w:t>lo siguiente: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216"/>
        <w:ind w:right="864"/>
        <w:jc w:val="both"/>
        <w:rPr>
          <w:i/>
          <w:iCs/>
          <w:lang w:val="es-ES" w:eastAsia="es-ES"/>
        </w:rPr>
      </w:pPr>
      <w:r>
        <w:rPr>
          <w:i/>
          <w:iCs/>
          <w:spacing w:val="-10"/>
          <w:lang w:val="es-ES" w:eastAsia="es-ES"/>
        </w:rPr>
        <w:t xml:space="preserve">"NOTA II: </w:t>
      </w:r>
      <w:r>
        <w:rPr>
          <w:b/>
          <w:bCs/>
          <w:i/>
          <w:iCs/>
          <w:spacing w:val="-10"/>
          <w:sz w:val="26"/>
          <w:szCs w:val="26"/>
          <w:u w:val="single"/>
          <w:lang w:val="es-ES" w:eastAsia="es-ES"/>
        </w:rPr>
        <w:t xml:space="preserve">Se indican con asterisco (*) las base de operación para las cuales se aceptarán </w:t>
      </w:r>
      <w:r>
        <w:rPr>
          <w:b/>
          <w:bCs/>
          <w:i/>
          <w:iCs/>
          <w:spacing w:val="-7"/>
          <w:sz w:val="26"/>
          <w:szCs w:val="26"/>
          <w:u w:val="single"/>
          <w:lang w:val="es-ES" w:eastAsia="es-ES"/>
        </w:rPr>
        <w:t>ofertas únicamente para vehículos tipo rural</w:t>
      </w:r>
      <w:r>
        <w:rPr>
          <w:i/>
          <w:iCs/>
          <w:spacing w:val="-7"/>
          <w:lang w:val="es-ES" w:eastAsia="es-ES"/>
        </w:rPr>
        <w:t xml:space="preserve"> de acuerdo con las especificaciones técnicas </w:t>
      </w:r>
      <w:r>
        <w:rPr>
          <w:i/>
          <w:iCs/>
          <w:lang w:val="es-ES" w:eastAsia="es-ES"/>
        </w:rPr>
        <w:t>señaladas en el presente reglamento.</w:t>
      </w:r>
    </w:p>
    <w:p w:rsidR="00027DCE" w:rsidRDefault="00027DCE" w:rsidP="00027DCE">
      <w:pPr>
        <w:pStyle w:val="Style6"/>
        <w:kinsoku w:val="0"/>
        <w:autoSpaceDE/>
        <w:autoSpaceDN/>
        <w:spacing w:before="180"/>
        <w:rPr>
          <w:spacing w:val="-4"/>
          <w:sz w:val="25"/>
          <w:szCs w:val="25"/>
          <w:lang w:val="es-ES" w:eastAsia="es-ES"/>
        </w:rPr>
      </w:pPr>
      <w:proofErr w:type="spellStart"/>
      <w:r>
        <w:rPr>
          <w:b/>
          <w:bCs/>
          <w:i/>
          <w:iCs/>
          <w:sz w:val="26"/>
          <w:szCs w:val="26"/>
          <w:u w:val="single"/>
          <w:lang w:val="es-ES" w:eastAsia="es-ES"/>
        </w:rPr>
        <w:t>Unicamente</w:t>
      </w:r>
      <w:proofErr w:type="spellEnd"/>
      <w:r>
        <w:rPr>
          <w:b/>
          <w:bCs/>
          <w:i/>
          <w:iCs/>
          <w:sz w:val="26"/>
          <w:szCs w:val="26"/>
          <w:u w:val="single"/>
          <w:lang w:val="es-ES" w:eastAsia="es-ES"/>
        </w:rPr>
        <w:t xml:space="preserve"> para vehículos de tipo rural</w:t>
      </w:r>
      <w:r>
        <w:rPr>
          <w:i/>
          <w:iCs/>
          <w:lang w:val="es-ES" w:eastAsia="es-ES"/>
        </w:rPr>
        <w:t xml:space="preserve"> de acuerdo con las especificaciones; </w:t>
      </w:r>
      <w:r>
        <w:rPr>
          <w:b/>
          <w:bCs/>
          <w:i/>
          <w:iCs/>
          <w:sz w:val="26"/>
          <w:szCs w:val="26"/>
          <w:u w:val="single"/>
          <w:lang w:val="es-ES" w:eastAsia="es-ES"/>
        </w:rPr>
        <w:t xml:space="preserve">dichas </w:t>
      </w:r>
      <w:r>
        <w:rPr>
          <w:b/>
          <w:bCs/>
          <w:i/>
          <w:iCs/>
          <w:spacing w:val="-9"/>
          <w:sz w:val="26"/>
          <w:szCs w:val="26"/>
          <w:u w:val="single"/>
          <w:lang w:val="es-ES" w:eastAsia="es-ES"/>
        </w:rPr>
        <w:t>bases se codifican con un número nueve (9) al final de la numeración"</w:t>
      </w:r>
      <w:r>
        <w:rPr>
          <w:spacing w:val="-9"/>
          <w:sz w:val="25"/>
          <w:szCs w:val="25"/>
          <w:lang w:val="es-ES" w:eastAsia="es-ES"/>
        </w:rPr>
        <w:t xml:space="preserve"> (Lo destacado y </w:t>
      </w:r>
      <w:r>
        <w:rPr>
          <w:spacing w:val="-4"/>
          <w:sz w:val="25"/>
          <w:szCs w:val="25"/>
          <w:lang w:val="es-ES" w:eastAsia="es-ES"/>
        </w:rPr>
        <w:t>subrayado no pertenece al original)</w:t>
      </w:r>
    </w:p>
    <w:p w:rsidR="00027DCE" w:rsidRDefault="00027DCE" w:rsidP="00027DCE">
      <w:pPr>
        <w:pStyle w:val="Style6"/>
        <w:kinsoku w:val="0"/>
        <w:autoSpaceDE/>
        <w:autoSpaceDN/>
        <w:spacing w:before="180"/>
        <w:jc w:val="left"/>
        <w:rPr>
          <w:spacing w:val="-3"/>
          <w:sz w:val="25"/>
          <w:szCs w:val="25"/>
          <w:lang w:val="es-ES" w:eastAsia="es-ES"/>
        </w:rPr>
      </w:pPr>
      <w:r>
        <w:rPr>
          <w:spacing w:val="1"/>
          <w:sz w:val="25"/>
          <w:szCs w:val="25"/>
          <w:lang w:val="es-ES" w:eastAsia="es-ES"/>
        </w:rPr>
        <w:t xml:space="preserve">De esa condición y en concordancia con lo que dispone el reglamento de cita, se lee </w:t>
      </w:r>
      <w:r>
        <w:rPr>
          <w:spacing w:val="-3"/>
          <w:sz w:val="25"/>
          <w:szCs w:val="25"/>
          <w:lang w:val="es-ES" w:eastAsia="es-ES"/>
        </w:rPr>
        <w:t>claramente para la base de operación 305010 lo siguiente:</w:t>
      </w:r>
    </w:p>
    <w:p w:rsidR="00027DCE" w:rsidRDefault="00027DCE" w:rsidP="00027DCE">
      <w:pPr>
        <w:widowControl/>
        <w:kinsoku/>
        <w:autoSpaceDE w:val="0"/>
        <w:autoSpaceDN w:val="0"/>
        <w:adjustRightInd w:val="0"/>
        <w:sectPr w:rsidR="00027DCE">
          <w:pgSz w:w="12240" w:h="15840"/>
          <w:pgMar w:top="1180" w:right="1174" w:bottom="2470" w:left="1246" w:header="720" w:footer="720" w:gutter="0"/>
          <w:cols w:space="720"/>
          <w:noEndnote/>
        </w:sectPr>
      </w:pPr>
    </w:p>
    <w:p w:rsidR="00027DCE" w:rsidRDefault="00027DCE" w:rsidP="00027DCE">
      <w:pPr>
        <w:pStyle w:val="Style7"/>
        <w:tabs>
          <w:tab w:val="right" w:pos="2539"/>
        </w:tabs>
        <w:kinsoku w:val="0"/>
        <w:autoSpaceDE/>
        <w:autoSpaceDN/>
        <w:spacing w:line="211" w:lineRule="auto"/>
        <w:rPr>
          <w:sz w:val="25"/>
          <w:szCs w:val="25"/>
          <w:u w:val="single"/>
          <w:lang w:val="es-ES" w:eastAsia="es-ES"/>
        </w:rPr>
      </w:pPr>
      <w:r>
        <w:rPr>
          <w:rFonts w:ascii="Verdana" w:hAnsi="Verdana" w:cs="Verdana"/>
          <w:sz w:val="8"/>
          <w:szCs w:val="8"/>
          <w:lang w:val="es-ES" w:eastAsia="es-ES"/>
        </w:rPr>
        <w:lastRenderedPageBreak/>
        <w:tab/>
      </w:r>
      <w:r>
        <w:rPr>
          <w:sz w:val="25"/>
          <w:szCs w:val="25"/>
          <w:u w:val="single"/>
          <w:lang w:val="es-ES" w:eastAsia="es-ES"/>
        </w:rPr>
        <w:t>TURRIALBA</w:t>
      </w:r>
    </w:p>
    <w:p w:rsidR="00027DCE" w:rsidRDefault="00027DCE" w:rsidP="00027DCE">
      <w:pPr>
        <w:pStyle w:val="Style7"/>
        <w:kinsoku w:val="0"/>
        <w:autoSpaceDE/>
        <w:autoSpaceDN/>
        <w:spacing w:before="252"/>
        <w:ind w:left="216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305010 TURRIALBA 1 base en Turrialba (5)</w:t>
      </w:r>
    </w:p>
    <w:p w:rsidR="00027DCE" w:rsidRDefault="00027DCE" w:rsidP="00027DCE">
      <w:pPr>
        <w:pStyle w:val="Style7"/>
        <w:kinsoku w:val="0"/>
        <w:autoSpaceDE/>
        <w:autoSpaceDN/>
        <w:ind w:left="216"/>
        <w:rPr>
          <w:spacing w:val="2"/>
          <w:sz w:val="25"/>
          <w:szCs w:val="25"/>
          <w:lang w:val="es-ES" w:eastAsia="es-ES"/>
        </w:rPr>
      </w:pPr>
      <w:r>
        <w:rPr>
          <w:spacing w:val="2"/>
          <w:sz w:val="25"/>
          <w:szCs w:val="25"/>
          <w:lang w:val="es-ES" w:eastAsia="es-ES"/>
        </w:rPr>
        <w:t xml:space="preserve">305019 TURRIALBA </w:t>
      </w:r>
      <w:proofErr w:type="spellStart"/>
      <w:r>
        <w:rPr>
          <w:spacing w:val="2"/>
          <w:sz w:val="25"/>
          <w:szCs w:val="25"/>
          <w:lang w:val="es-ES" w:eastAsia="es-ES"/>
        </w:rPr>
        <w:t>Turrialba</w:t>
      </w:r>
      <w:proofErr w:type="spellEnd"/>
      <w:r>
        <w:rPr>
          <w:spacing w:val="2"/>
          <w:sz w:val="25"/>
          <w:szCs w:val="25"/>
          <w:lang w:val="es-ES" w:eastAsia="es-ES"/>
        </w:rPr>
        <w:t xml:space="preserve"> (vehículos rurales) (5)</w:t>
      </w:r>
    </w:p>
    <w:p w:rsidR="00027DCE" w:rsidRDefault="00027DCE" w:rsidP="00027DCE">
      <w:pPr>
        <w:pStyle w:val="Style7"/>
        <w:kinsoku w:val="0"/>
        <w:autoSpaceDE/>
        <w:autoSpaceDN/>
        <w:spacing w:before="252"/>
        <w:ind w:right="72"/>
        <w:rPr>
          <w:spacing w:val="-2"/>
          <w:sz w:val="25"/>
          <w:szCs w:val="25"/>
          <w:lang w:val="es-ES" w:eastAsia="es-ES"/>
        </w:rPr>
      </w:pPr>
      <w:r>
        <w:rPr>
          <w:spacing w:val="7"/>
          <w:sz w:val="25"/>
          <w:szCs w:val="25"/>
          <w:lang w:val="es-ES" w:eastAsia="es-ES"/>
        </w:rPr>
        <w:t xml:space="preserve">Nota (5) La base de operación de Turrialba tiene los códigos 305010 y 305019, </w:t>
      </w:r>
      <w:r>
        <w:rPr>
          <w:spacing w:val="-2"/>
          <w:sz w:val="25"/>
          <w:szCs w:val="25"/>
          <w:lang w:val="es-ES" w:eastAsia="es-ES"/>
        </w:rPr>
        <w:t>dependiendo del tipo de vehículo"</w:t>
      </w:r>
    </w:p>
    <w:p w:rsidR="00027DCE" w:rsidRDefault="00027DCE" w:rsidP="00027DCE">
      <w:pPr>
        <w:pStyle w:val="Style8"/>
        <w:kinsoku w:val="0"/>
        <w:autoSpaceDE/>
        <w:autoSpaceDN/>
        <w:spacing w:before="504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Como podrá observar el recurrente de la transcripción de las citas reglamentarias para participar en la base de operación de TURRIALBA se debía haber escogido, de acuerdo a sus intereses, solo una base de operación y no señalar dos como si lo hizo.</w:t>
      </w:r>
    </w:p>
    <w:p w:rsidR="00027DCE" w:rsidRDefault="00027DCE" w:rsidP="00027DCE">
      <w:pPr>
        <w:pStyle w:val="Style8"/>
        <w:kinsoku w:val="0"/>
        <w:autoSpaceDE/>
        <w:autoSpaceDN/>
        <w:spacing w:before="252"/>
        <w:rPr>
          <w:spacing w:val="-3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En ese orden de ideas, ha establecido reiteradamente este Tribunal, que de acuerdo con el </w:t>
      </w:r>
      <w:r>
        <w:rPr>
          <w:spacing w:val="7"/>
          <w:sz w:val="25"/>
          <w:szCs w:val="25"/>
          <w:lang w:val="es-ES" w:eastAsia="es-ES"/>
        </w:rPr>
        <w:t xml:space="preserve">artículo 49.2 del Reglamento General de Contratación Administrativa, </w:t>
      </w:r>
      <w:r>
        <w:rPr>
          <w:i/>
          <w:iCs/>
          <w:spacing w:val="7"/>
          <w:lang w:val="es-ES" w:eastAsia="es-ES"/>
        </w:rPr>
        <w:t xml:space="preserve">"La sola </w:t>
      </w:r>
      <w:r>
        <w:rPr>
          <w:i/>
          <w:iCs/>
          <w:spacing w:val="1"/>
          <w:lang w:val="es-ES" w:eastAsia="es-ES"/>
        </w:rPr>
        <w:t xml:space="preserve">presentación de la oferta se entenderá como una manifestación inequívoca de la voluntad </w:t>
      </w:r>
      <w:r>
        <w:rPr>
          <w:i/>
          <w:iCs/>
          <w:lang w:val="es-ES" w:eastAsia="es-ES"/>
        </w:rPr>
        <w:t xml:space="preserve">del oferente de contratar con pleno conocimiento a las condiciones y especificaciones del </w:t>
      </w:r>
      <w:r>
        <w:rPr>
          <w:i/>
          <w:iCs/>
          <w:spacing w:val="1"/>
          <w:lang w:val="es-ES" w:eastAsia="es-ES"/>
        </w:rPr>
        <w:t xml:space="preserve">cartel y las disposiciones legales y reglamentarias pertinentes". </w:t>
      </w:r>
      <w:r>
        <w:rPr>
          <w:spacing w:val="1"/>
          <w:sz w:val="25"/>
          <w:szCs w:val="25"/>
          <w:lang w:val="es-ES" w:eastAsia="es-ES"/>
        </w:rPr>
        <w:t xml:space="preserve">El Reglamento que ha </w:t>
      </w:r>
      <w:r>
        <w:rPr>
          <w:sz w:val="25"/>
          <w:szCs w:val="25"/>
          <w:lang w:val="es-ES" w:eastAsia="es-ES"/>
        </w:rPr>
        <w:t xml:space="preserve">servido de base a este procedimiento de licitación fue dado a conocer con suficiente </w:t>
      </w:r>
      <w:r>
        <w:rPr>
          <w:spacing w:val="-2"/>
          <w:sz w:val="25"/>
          <w:szCs w:val="25"/>
          <w:lang w:val="es-ES" w:eastAsia="es-ES"/>
        </w:rPr>
        <w:t xml:space="preserve">antelación y en él se especificaban claramente cada una de las bases con la indicación del </w:t>
      </w:r>
      <w:r>
        <w:rPr>
          <w:spacing w:val="-4"/>
          <w:sz w:val="25"/>
          <w:szCs w:val="25"/>
          <w:lang w:val="es-ES" w:eastAsia="es-ES"/>
        </w:rPr>
        <w:t xml:space="preserve">tipo de vehículo que participaba en cada una de ellas. Los oferentes con la sola presentación </w:t>
      </w:r>
      <w:r>
        <w:rPr>
          <w:spacing w:val="-2"/>
          <w:sz w:val="25"/>
          <w:szCs w:val="25"/>
          <w:lang w:val="es-ES" w:eastAsia="es-ES"/>
        </w:rPr>
        <w:t xml:space="preserve">de la oferta quedaron sujetos a las condiciones que el Reglamento estableció y debían </w:t>
      </w:r>
      <w:r>
        <w:rPr>
          <w:spacing w:val="4"/>
          <w:sz w:val="25"/>
          <w:szCs w:val="25"/>
          <w:lang w:val="es-ES" w:eastAsia="es-ES"/>
        </w:rPr>
        <w:t xml:space="preserve">manifestar su voluntad de participar en una determinada base con el vehículo que </w:t>
      </w:r>
      <w:r>
        <w:rPr>
          <w:spacing w:val="-4"/>
          <w:sz w:val="25"/>
          <w:szCs w:val="25"/>
          <w:lang w:val="es-ES" w:eastAsia="es-ES"/>
        </w:rPr>
        <w:t xml:space="preserve">correspondía, de manera que ante el incumplimiento detectado se generó la posibilidad de </w:t>
      </w:r>
      <w:r>
        <w:rPr>
          <w:spacing w:val="-3"/>
          <w:sz w:val="25"/>
          <w:szCs w:val="25"/>
          <w:lang w:val="es-ES" w:eastAsia="es-ES"/>
        </w:rPr>
        <w:t>quedar excluido como adjudicatario directo, inclusive para la participación del proceso aleatorio, en el tanto la presentación de la oferta, configuró una omisión a los requisitos formales solicitados por el reglamento de cita, según los hechos argumentados.</w:t>
      </w:r>
    </w:p>
    <w:p w:rsidR="00027DCE" w:rsidRDefault="00027DCE" w:rsidP="00027DCE">
      <w:pPr>
        <w:pStyle w:val="Style8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En el caso del recurrente, el incumplimiento señalado constituye una situación que se </w:t>
      </w:r>
      <w:r>
        <w:rPr>
          <w:spacing w:val="-8"/>
          <w:sz w:val="25"/>
          <w:szCs w:val="25"/>
          <w:lang w:val="es-ES" w:eastAsia="es-ES"/>
        </w:rPr>
        <w:t xml:space="preserve">considera insubsanable de conformidad con las indicaciones inmersas dentro de la oferta, el </w:t>
      </w:r>
      <w:r>
        <w:rPr>
          <w:spacing w:val="7"/>
          <w:sz w:val="25"/>
          <w:szCs w:val="25"/>
          <w:lang w:val="es-ES" w:eastAsia="es-ES"/>
        </w:rPr>
        <w:t xml:space="preserve">reglamento de referencia y conforme lo que estableció el </w:t>
      </w:r>
      <w:r>
        <w:rPr>
          <w:b/>
          <w:bCs/>
          <w:spacing w:val="7"/>
          <w:lang w:val="es-ES" w:eastAsia="es-ES"/>
        </w:rPr>
        <w:t xml:space="preserve">voto 998-98 de la Sala </w:t>
      </w:r>
      <w:r>
        <w:rPr>
          <w:b/>
          <w:bCs/>
          <w:spacing w:val="2"/>
          <w:lang w:val="es-ES" w:eastAsia="es-ES"/>
        </w:rPr>
        <w:t xml:space="preserve">Constitucional </w:t>
      </w:r>
      <w:r>
        <w:rPr>
          <w:spacing w:val="2"/>
          <w:sz w:val="25"/>
          <w:szCs w:val="25"/>
          <w:lang w:val="es-ES" w:eastAsia="es-ES"/>
        </w:rPr>
        <w:t xml:space="preserve">cuando dispuso con claridad que: "la subsanación de defectos en las </w:t>
      </w:r>
      <w:r>
        <w:rPr>
          <w:spacing w:val="3"/>
          <w:sz w:val="25"/>
          <w:szCs w:val="25"/>
          <w:lang w:val="es-ES" w:eastAsia="es-ES"/>
        </w:rPr>
        <w:t xml:space="preserve">ofertas, solo obedece a faltas menores que no varían el contenido de la misma o la </w:t>
      </w:r>
      <w:r>
        <w:rPr>
          <w:spacing w:val="-1"/>
          <w:sz w:val="25"/>
          <w:szCs w:val="25"/>
          <w:lang w:val="es-ES" w:eastAsia="es-ES"/>
        </w:rPr>
        <w:t xml:space="preserve">evaluación de ellas y que la presentación errónea o defectuosa de requisitos sustanciales </w:t>
      </w:r>
      <w:r>
        <w:rPr>
          <w:spacing w:val="-3"/>
          <w:sz w:val="25"/>
          <w:szCs w:val="25"/>
          <w:lang w:val="es-ES" w:eastAsia="es-ES"/>
        </w:rPr>
        <w:t>que varíen esa evaluación no es admisible."</w:t>
      </w:r>
    </w:p>
    <w:p w:rsidR="00027DCE" w:rsidRDefault="00027DCE" w:rsidP="00027DCE">
      <w:pPr>
        <w:pStyle w:val="Style8"/>
        <w:kinsoku w:val="0"/>
        <w:autoSpaceDE/>
        <w:autoSpaceDN/>
        <w:spacing w:before="180"/>
        <w:rPr>
          <w:spacing w:val="-4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sz w:val="25"/>
          <w:szCs w:val="2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sz w:val="25"/>
          <w:szCs w:val="25"/>
          <w:lang w:val="es-ES" w:eastAsia="es-ES"/>
        </w:rPr>
        <w:t>dispuesto que: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180"/>
        <w:ind w:left="648" w:right="648"/>
        <w:jc w:val="both"/>
        <w:rPr>
          <w:i/>
          <w:iCs/>
          <w:spacing w:val="1"/>
          <w:lang w:val="es-ES" w:eastAsia="es-ES"/>
        </w:rPr>
      </w:pPr>
      <w:r>
        <w:rPr>
          <w:i/>
          <w:iCs/>
          <w:spacing w:val="6"/>
          <w:lang w:val="es-ES" w:eastAsia="es-ES"/>
        </w:rPr>
        <w:t xml:space="preserve">"la información versada sobre un hecho histórico e inmodificable; para </w:t>
      </w:r>
      <w:r>
        <w:rPr>
          <w:i/>
          <w:iCs/>
          <w:spacing w:val="10"/>
          <w:lang w:val="es-ES" w:eastAsia="es-ES"/>
        </w:rPr>
        <w:t xml:space="preserve">calificarse como tal y permitir su subsanación, el mismo debió haber </w:t>
      </w:r>
      <w:r>
        <w:rPr>
          <w:i/>
          <w:iCs/>
          <w:spacing w:val="3"/>
          <w:lang w:val="es-ES" w:eastAsia="es-ES"/>
        </w:rPr>
        <w:t xml:space="preserve">acontecido o existido antes de la apertura de las ofertas y que es un hecho </w:t>
      </w:r>
      <w:r>
        <w:rPr>
          <w:i/>
          <w:iCs/>
          <w:spacing w:val="-1"/>
          <w:lang w:val="es-ES" w:eastAsia="es-ES"/>
        </w:rPr>
        <w:t xml:space="preserve">sobre el cual se tiene duda. Bajo estos supuestos, corresponde entonces, que mediante el instituto de la subsanación, se pretende solamente corroborar la </w:t>
      </w:r>
      <w:r>
        <w:rPr>
          <w:i/>
          <w:iCs/>
          <w:lang w:val="es-ES" w:eastAsia="es-ES"/>
        </w:rPr>
        <w:t xml:space="preserve">veracidad del hecho alegado. En este caso, se pueden buscar mejores y </w:t>
      </w:r>
      <w:proofErr w:type="spellStart"/>
      <w:r>
        <w:rPr>
          <w:i/>
          <w:iCs/>
          <w:lang w:val="es-ES" w:eastAsia="es-ES"/>
        </w:rPr>
        <w:t>mas</w:t>
      </w:r>
      <w:proofErr w:type="spellEnd"/>
      <w:r>
        <w:rPr>
          <w:i/>
          <w:iCs/>
          <w:lang w:val="es-ES" w:eastAsia="es-ES"/>
        </w:rPr>
        <w:t xml:space="preserve"> </w:t>
      </w:r>
      <w:r>
        <w:rPr>
          <w:i/>
          <w:iCs/>
          <w:spacing w:val="1"/>
          <w:lang w:val="es-ES" w:eastAsia="es-ES"/>
        </w:rPr>
        <w:t>satisfactorios medios de prueba, para verificar el hecho histórico, sin que los</w:t>
      </w:r>
    </w:p>
    <w:p w:rsidR="00027DCE" w:rsidRDefault="00027DCE" w:rsidP="00027DCE">
      <w:pPr>
        <w:widowControl/>
        <w:kinsoku/>
        <w:autoSpaceDE w:val="0"/>
        <w:autoSpaceDN w:val="0"/>
        <w:adjustRightInd w:val="0"/>
        <w:sectPr w:rsidR="00027DCE">
          <w:pgSz w:w="12240" w:h="15840"/>
          <w:pgMar w:top="1180" w:right="1616" w:bottom="1430" w:left="1564" w:header="720" w:footer="720" w:gutter="0"/>
          <w:cols w:space="720"/>
          <w:noEndnote/>
        </w:sectPr>
      </w:pPr>
    </w:p>
    <w:p w:rsidR="00027DCE" w:rsidRDefault="00027DCE" w:rsidP="00027DCE">
      <w:pPr>
        <w:pStyle w:val="Style4"/>
        <w:kinsoku w:val="0"/>
        <w:autoSpaceDE/>
        <w:autoSpaceDN/>
        <w:rPr>
          <w:rStyle w:val="CharacterStyle6"/>
          <w:iCs w:val="0"/>
          <w:spacing w:val="-5"/>
          <w:sz w:val="25"/>
          <w:szCs w:val="25"/>
          <w:lang w:val="es-ES" w:eastAsia="es-ES"/>
        </w:rPr>
      </w:pPr>
      <w:proofErr w:type="gramStart"/>
      <w:r>
        <w:rPr>
          <w:rStyle w:val="CharacterStyle6"/>
          <w:i/>
          <w:spacing w:val="2"/>
          <w:lang w:val="es-ES" w:eastAsia="es-ES"/>
        </w:rPr>
        <w:lastRenderedPageBreak/>
        <w:t>medios</w:t>
      </w:r>
      <w:proofErr w:type="gramEnd"/>
      <w:r>
        <w:rPr>
          <w:rStyle w:val="CharacterStyle6"/>
          <w:i/>
          <w:spacing w:val="2"/>
          <w:lang w:val="es-ES" w:eastAsia="es-ES"/>
        </w:rPr>
        <w:t xml:space="preserve"> de prueba tengan la virtud de poder variar la realidad pasada de la </w:t>
      </w:r>
      <w:r>
        <w:rPr>
          <w:rStyle w:val="CharacterStyle6"/>
          <w:i/>
          <w:spacing w:val="-1"/>
          <w:lang w:val="es-ES" w:eastAsia="es-ES"/>
        </w:rPr>
        <w:t xml:space="preserve">cual dan fe. Esta forma de pensar obedece a una aplicación del principio de </w:t>
      </w:r>
      <w:r>
        <w:rPr>
          <w:rStyle w:val="CharacterStyle6"/>
          <w:i/>
          <w:spacing w:val="1"/>
          <w:lang w:val="es-ES" w:eastAsia="es-ES"/>
        </w:rPr>
        <w:t xml:space="preserve">eficiencia que pretende conseguir estudios de ofertas y adjudicaciones más </w:t>
      </w:r>
      <w:r>
        <w:rPr>
          <w:rStyle w:val="CharacterStyle6"/>
          <w:i/>
          <w:spacing w:val="3"/>
          <w:lang w:val="es-ES" w:eastAsia="es-ES"/>
        </w:rPr>
        <w:t xml:space="preserve">apegadas a la realidad y a la lógica. En conclusión, podría ser subsanable </w:t>
      </w:r>
      <w:r>
        <w:rPr>
          <w:rStyle w:val="CharacterStyle6"/>
          <w:i/>
          <w:spacing w:val="-4"/>
          <w:lang w:val="es-ES" w:eastAsia="es-ES"/>
        </w:rPr>
        <w:t xml:space="preserve">aquel requisito que, aunque sujeto a evaluación, se trate de un hecho histórico </w:t>
      </w:r>
      <w:r>
        <w:rPr>
          <w:rStyle w:val="CharacterStyle6"/>
          <w:i/>
          <w:spacing w:val="-3"/>
          <w:lang w:val="es-ES" w:eastAsia="es-ES"/>
        </w:rPr>
        <w:t xml:space="preserve">inmodificable a gusto del oferente </w:t>
      </w:r>
      <w:r>
        <w:rPr>
          <w:rStyle w:val="CharacterStyle6"/>
          <w:rFonts w:ascii="Bookman Old Style" w:hAnsi="Bookman Old Style" w:cs="Bookman Old Style"/>
          <w:iCs w:val="0"/>
          <w:spacing w:val="-3"/>
          <w:sz w:val="23"/>
          <w:szCs w:val="23"/>
          <w:lang w:val="es-ES" w:eastAsia="es-ES"/>
        </w:rPr>
        <w:t xml:space="preserve">y </w:t>
      </w:r>
      <w:r>
        <w:rPr>
          <w:rStyle w:val="CharacterStyle6"/>
          <w:i/>
          <w:spacing w:val="-3"/>
          <w:lang w:val="es-ES" w:eastAsia="es-ES"/>
        </w:rPr>
        <w:t xml:space="preserve">que, además, haya quedado debidamente </w:t>
      </w:r>
      <w:r>
        <w:rPr>
          <w:rStyle w:val="CharacterStyle6"/>
          <w:i/>
          <w:spacing w:val="2"/>
          <w:lang w:val="es-ES" w:eastAsia="es-ES"/>
        </w:rPr>
        <w:t xml:space="preserve">consignado (asentado y referenciado) en la oferta </w:t>
      </w:r>
      <w:r>
        <w:rPr>
          <w:rStyle w:val="CharacterStyle6"/>
          <w:iCs w:val="0"/>
          <w:spacing w:val="2"/>
          <w:sz w:val="25"/>
          <w:szCs w:val="25"/>
          <w:lang w:val="es-ES" w:eastAsia="es-ES"/>
        </w:rPr>
        <w:t>(Oficio N° 1390 DGCA</w:t>
      </w:r>
      <w:r>
        <w:rPr>
          <w:rStyle w:val="CharacterStyle6"/>
          <w:iCs w:val="0"/>
          <w:spacing w:val="2"/>
          <w:sz w:val="25"/>
          <w:szCs w:val="25"/>
          <w:lang w:val="es-ES" w:eastAsia="es-ES"/>
        </w:rPr>
        <w:softHyphen/>
      </w:r>
      <w:r>
        <w:rPr>
          <w:rStyle w:val="CharacterStyle6"/>
          <w:iCs w:val="0"/>
          <w:spacing w:val="-5"/>
          <w:sz w:val="25"/>
          <w:szCs w:val="25"/>
          <w:lang w:val="es-ES" w:eastAsia="es-ES"/>
        </w:rPr>
        <w:t>154-99, del 11 de febrero de 1999).</w:t>
      </w:r>
    </w:p>
    <w:p w:rsidR="00027DCE" w:rsidRDefault="00027DCE" w:rsidP="00027DCE">
      <w:pPr>
        <w:pStyle w:val="Style8"/>
        <w:kinsoku w:val="0"/>
        <w:autoSpaceDE/>
        <w:autoSpaceDN/>
        <w:spacing w:before="504"/>
        <w:ind w:left="144" w:right="144"/>
        <w:rPr>
          <w:spacing w:val="-4"/>
          <w:sz w:val="25"/>
          <w:szCs w:val="25"/>
          <w:lang w:val="es-ES" w:eastAsia="es-ES"/>
        </w:rPr>
      </w:pPr>
      <w:r>
        <w:rPr>
          <w:spacing w:val="1"/>
          <w:sz w:val="25"/>
          <w:szCs w:val="25"/>
          <w:lang w:val="es-ES" w:eastAsia="es-ES"/>
        </w:rPr>
        <w:t xml:space="preserve">El hecho de que el oferente hubiese indicado dentro de su oferta más de una base de </w:t>
      </w:r>
      <w:r>
        <w:rPr>
          <w:spacing w:val="-6"/>
          <w:sz w:val="25"/>
          <w:szCs w:val="25"/>
          <w:lang w:val="es-ES" w:eastAsia="es-ES"/>
        </w:rPr>
        <w:t xml:space="preserve">operación para la cual estaba participando, es un elemento o hecho que por su naturaleza es </w:t>
      </w:r>
      <w:r>
        <w:rPr>
          <w:sz w:val="25"/>
          <w:szCs w:val="25"/>
          <w:lang w:val="es-ES" w:eastAsia="es-ES"/>
        </w:rPr>
        <w:t xml:space="preserve">imposible subsanar, aceptar tal situación crearía gran incertidumbre y una desigualdad </w:t>
      </w:r>
      <w:r>
        <w:rPr>
          <w:spacing w:val="-4"/>
          <w:sz w:val="25"/>
          <w:szCs w:val="25"/>
          <w:lang w:val="es-ES" w:eastAsia="es-ES"/>
        </w:rPr>
        <w:t>nociva para cualquier procedimiento concursal.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216"/>
        <w:ind w:left="144" w:right="144"/>
        <w:rPr>
          <w:spacing w:val="-3"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Sobre el particular la Contraloría General de la República mediante resolución No. R</w:t>
      </w:r>
      <w:r>
        <w:rPr>
          <w:sz w:val="25"/>
          <w:szCs w:val="25"/>
          <w:lang w:val="es-ES" w:eastAsia="es-ES"/>
        </w:rPr>
        <w:softHyphen/>
      </w:r>
      <w:r>
        <w:rPr>
          <w:spacing w:val="-3"/>
          <w:sz w:val="25"/>
          <w:szCs w:val="25"/>
          <w:lang w:val="es-ES" w:eastAsia="es-ES"/>
        </w:rPr>
        <w:t>DAGJ-29-99 de las 15:30 horas del 15 de octubre de 1999, ha resuelto:</w:t>
      </w:r>
    </w:p>
    <w:p w:rsidR="00027DCE" w:rsidRDefault="00027DCE" w:rsidP="00027DCE">
      <w:pPr>
        <w:pStyle w:val="Style4"/>
        <w:kinsoku w:val="0"/>
        <w:autoSpaceDE/>
        <w:autoSpaceDN/>
        <w:spacing w:before="252"/>
        <w:rPr>
          <w:rStyle w:val="CharacterStyle6"/>
          <w:i/>
          <w:spacing w:val="2"/>
          <w:lang w:val="es-ES" w:eastAsia="es-ES"/>
        </w:rPr>
      </w:pPr>
      <w:r>
        <w:rPr>
          <w:rStyle w:val="CharacterStyle6"/>
          <w:i/>
          <w:lang w:val="es-ES" w:eastAsia="es-ES"/>
        </w:rPr>
        <w:t xml:space="preserve">"Esta Contraloría General, ha sido clara en manifestar que, cualquier aspecto </w:t>
      </w:r>
      <w:r>
        <w:rPr>
          <w:rStyle w:val="CharacterStyle6"/>
          <w:i/>
          <w:spacing w:val="1"/>
          <w:lang w:val="es-ES" w:eastAsia="es-ES"/>
        </w:rPr>
        <w:t xml:space="preserve">que pueda conferir ventaja a un oferente, no es susceptible de ser subsanado, </w:t>
      </w:r>
      <w:r>
        <w:rPr>
          <w:rStyle w:val="CharacterStyle6"/>
          <w:i/>
          <w:spacing w:val="2"/>
          <w:lang w:val="es-ES" w:eastAsia="es-ES"/>
        </w:rPr>
        <w:t xml:space="preserve">por cuanto, el principio de igualdad, constituye un claro límite al instituto de </w:t>
      </w:r>
      <w:r>
        <w:rPr>
          <w:rStyle w:val="CharacterStyle6"/>
          <w:i/>
          <w:spacing w:val="1"/>
          <w:lang w:val="es-ES" w:eastAsia="es-ES"/>
        </w:rPr>
        <w:t xml:space="preserve">la subsanación. En ese sentido, en nuestro oficio 1C 9260 (DGCA-976-99) de </w:t>
      </w:r>
      <w:r>
        <w:rPr>
          <w:rStyle w:val="CharacterStyle6"/>
          <w:i/>
          <w:lang w:val="es-ES" w:eastAsia="es-ES"/>
        </w:rPr>
        <w:t xml:space="preserve">13 de agosto de 1999, hemos manifestado: "Asimismo, en aplicación de este principio [el de eficiencia], la Administración está imposibilitada de conferir </w:t>
      </w:r>
      <w:r>
        <w:rPr>
          <w:rStyle w:val="CharacterStyle6"/>
          <w:i/>
          <w:spacing w:val="3"/>
          <w:lang w:val="es-ES" w:eastAsia="es-ES"/>
        </w:rPr>
        <w:t xml:space="preserve">trato desigual a los participantes, por ejemplo, permitiéndole a unos sí y a </w:t>
      </w:r>
      <w:r>
        <w:rPr>
          <w:rStyle w:val="CharacterStyle6"/>
          <w:i/>
          <w:spacing w:val="2"/>
          <w:lang w:val="es-ES" w:eastAsia="es-ES"/>
        </w:rPr>
        <w:t>otros no, subsanar aspectos incumplidos de la misma naturaleza (defectos formales trascendentes)"</w:t>
      </w:r>
    </w:p>
    <w:p w:rsidR="00027DCE" w:rsidRDefault="00027DCE" w:rsidP="00027DCE">
      <w:pPr>
        <w:pStyle w:val="Style5"/>
        <w:numPr>
          <w:ilvl w:val="0"/>
          <w:numId w:val="3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828"/>
        <w:ind w:right="144"/>
        <w:jc w:val="both"/>
        <w:rPr>
          <w:spacing w:val="-3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Pese al decir del recurrente, con vista en el formulario de su oferta, es clara la </w:t>
      </w:r>
      <w:r>
        <w:rPr>
          <w:spacing w:val="-2"/>
          <w:sz w:val="25"/>
          <w:szCs w:val="25"/>
          <w:lang w:val="es-ES" w:eastAsia="es-ES"/>
        </w:rPr>
        <w:t xml:space="preserve">manifestación y la intención que realiza el recurrente en las casillas de su oferta, situación </w:t>
      </w:r>
      <w:r>
        <w:rPr>
          <w:spacing w:val="-4"/>
          <w:sz w:val="25"/>
          <w:szCs w:val="25"/>
          <w:lang w:val="es-ES" w:eastAsia="es-ES"/>
        </w:rPr>
        <w:t xml:space="preserve">que torna difícil considerar cuando establece que se trata de un error material, nótese que </w:t>
      </w:r>
      <w:r>
        <w:rPr>
          <w:spacing w:val="-3"/>
          <w:sz w:val="25"/>
          <w:szCs w:val="25"/>
          <w:lang w:val="es-ES" w:eastAsia="es-ES"/>
        </w:rPr>
        <w:t>inclusive llenar los círculos respectivos a la casilla de la asignación de la base de operación, era una tarea que requería de cuidado y en ella no existió error.</w:t>
      </w:r>
    </w:p>
    <w:p w:rsidR="00027DCE" w:rsidRDefault="00027DCE" w:rsidP="00027DCE">
      <w:pPr>
        <w:pStyle w:val="Style8"/>
        <w:numPr>
          <w:ilvl w:val="0"/>
          <w:numId w:val="3"/>
        </w:numPr>
        <w:tabs>
          <w:tab w:val="clear" w:pos="432"/>
          <w:tab w:val="num" w:pos="648"/>
        </w:tabs>
        <w:kinsoku w:val="0"/>
        <w:autoSpaceDE/>
        <w:autoSpaceDN/>
        <w:spacing w:before="216"/>
        <w:ind w:right="144"/>
        <w:rPr>
          <w:spacing w:val="-4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El escrito presentado por el señor </w:t>
      </w:r>
      <w:r>
        <w:rPr>
          <w:b/>
          <w:bCs/>
          <w:spacing w:val="-2"/>
          <w:w w:val="105"/>
          <w:sz w:val="25"/>
          <w:szCs w:val="25"/>
          <w:lang w:val="es-ES" w:eastAsia="es-ES"/>
        </w:rPr>
        <w:t xml:space="preserve">GP, </w:t>
      </w:r>
      <w:r>
        <w:rPr>
          <w:spacing w:val="-2"/>
          <w:sz w:val="25"/>
          <w:szCs w:val="25"/>
          <w:lang w:val="es-ES" w:eastAsia="es-ES"/>
        </w:rPr>
        <w:t xml:space="preserve">se limita a solicitar ayuda para </w:t>
      </w:r>
      <w:r>
        <w:rPr>
          <w:spacing w:val="-5"/>
          <w:sz w:val="25"/>
          <w:szCs w:val="25"/>
          <w:lang w:val="es-ES" w:eastAsia="es-ES"/>
        </w:rPr>
        <w:t xml:space="preserve">ser incluido en el proceso aleatorio de la supuesta base de operación para la que ofertó con </w:t>
      </w:r>
      <w:r>
        <w:rPr>
          <w:spacing w:val="-1"/>
          <w:sz w:val="25"/>
          <w:szCs w:val="25"/>
          <w:lang w:val="es-ES" w:eastAsia="es-ES"/>
        </w:rPr>
        <w:t xml:space="preserve">vehículo tipo rural, sin que se constituya el citado libelo una apelación en los términos de </w:t>
      </w:r>
      <w:r>
        <w:rPr>
          <w:spacing w:val="2"/>
          <w:sz w:val="25"/>
          <w:szCs w:val="25"/>
          <w:lang w:val="es-ES" w:eastAsia="es-ES"/>
        </w:rPr>
        <w:t xml:space="preserve">ley. No indica en qué, el acuerdo impugnado quebranta sus derechos. Al respecto la </w:t>
      </w:r>
      <w:r>
        <w:rPr>
          <w:spacing w:val="-5"/>
          <w:sz w:val="25"/>
          <w:szCs w:val="25"/>
          <w:lang w:val="es-ES" w:eastAsia="es-ES"/>
        </w:rPr>
        <w:t xml:space="preserve">Contraloría General de la República mediante resolución No. R-DAGJ-069-99 de las 15:00 </w:t>
      </w:r>
      <w:r>
        <w:rPr>
          <w:spacing w:val="-4"/>
          <w:sz w:val="25"/>
          <w:szCs w:val="25"/>
          <w:lang w:val="es-ES" w:eastAsia="es-ES"/>
        </w:rPr>
        <w:t>horas del 3 de noviembre de 1999 indicó: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216"/>
        <w:ind w:left="720" w:right="792" w:firstLine="288"/>
        <w:jc w:val="both"/>
        <w:rPr>
          <w:i/>
          <w:iCs/>
          <w:spacing w:val="16"/>
          <w:lang w:val="es-ES" w:eastAsia="es-ES"/>
        </w:rPr>
      </w:pPr>
      <w:r>
        <w:rPr>
          <w:i/>
          <w:iCs/>
          <w:spacing w:val="5"/>
          <w:lang w:val="es-ES" w:eastAsia="es-ES"/>
        </w:rPr>
        <w:t xml:space="preserve">Conforme a lo previsto por el artículo 92, del Reglamento General de Contratación Administrativa, el escrito de apelación deberá indicar con </w:t>
      </w:r>
      <w:r>
        <w:rPr>
          <w:i/>
          <w:iCs/>
          <w:spacing w:val="16"/>
          <w:lang w:val="es-ES" w:eastAsia="es-ES"/>
        </w:rPr>
        <w:t>precisión las infracciones sustanciales que se le imputan al acto de</w:t>
      </w:r>
    </w:p>
    <w:p w:rsidR="00027DCE" w:rsidRDefault="00027DCE" w:rsidP="00027DCE">
      <w:pPr>
        <w:widowControl/>
        <w:kinsoku/>
        <w:autoSpaceDE w:val="0"/>
        <w:autoSpaceDN w:val="0"/>
        <w:adjustRightInd w:val="0"/>
        <w:sectPr w:rsidR="00027DCE">
          <w:pgSz w:w="12240" w:h="15840"/>
          <w:pgMar w:top="1160" w:right="1451" w:bottom="1670" w:left="1509" w:header="720" w:footer="720" w:gutter="0"/>
          <w:cols w:space="720"/>
          <w:noEndnote/>
        </w:sectPr>
      </w:pPr>
    </w:p>
    <w:p w:rsidR="00027DCE" w:rsidRDefault="00027DCE" w:rsidP="00027DCE">
      <w:pPr>
        <w:pStyle w:val="Style5"/>
        <w:kinsoku w:val="0"/>
        <w:autoSpaceDE/>
        <w:autoSpaceDN/>
        <w:adjustRightInd/>
        <w:ind w:left="504" w:right="936" w:firstLine="72"/>
        <w:jc w:val="both"/>
        <w:rPr>
          <w:i/>
          <w:iCs/>
          <w:spacing w:val="-8"/>
          <w:w w:val="110"/>
          <w:lang w:val="es-ES" w:eastAsia="es-ES"/>
        </w:rPr>
      </w:pPr>
      <w:proofErr w:type="gramStart"/>
      <w:r>
        <w:rPr>
          <w:i/>
          <w:iCs/>
          <w:spacing w:val="-10"/>
          <w:w w:val="110"/>
          <w:lang w:val="es-ES" w:eastAsia="es-ES"/>
        </w:rPr>
        <w:lastRenderedPageBreak/>
        <w:t>adjudicación</w:t>
      </w:r>
      <w:proofErr w:type="gramEnd"/>
      <w:r>
        <w:rPr>
          <w:i/>
          <w:iCs/>
          <w:spacing w:val="-10"/>
          <w:w w:val="110"/>
          <w:lang w:val="es-ES" w:eastAsia="es-ES"/>
        </w:rPr>
        <w:t xml:space="preserve"> o a los actos de procedimiento, con indicación de las normas o </w:t>
      </w:r>
      <w:r>
        <w:rPr>
          <w:i/>
          <w:iCs/>
          <w:spacing w:val="-4"/>
          <w:w w:val="110"/>
          <w:lang w:val="es-ES" w:eastAsia="es-ES"/>
        </w:rPr>
        <w:t>principios que se alegan quebrantados. Así mismo, ahí se dispone que e</w:t>
      </w:r>
      <w:r>
        <w:rPr>
          <w:i/>
          <w:iCs/>
          <w:spacing w:val="-4"/>
          <w:w w:val="105"/>
          <w:lang w:val="es-ES" w:eastAsia="es-ES"/>
        </w:rPr>
        <w:t xml:space="preserve">l </w:t>
      </w:r>
      <w:r>
        <w:rPr>
          <w:i/>
          <w:iCs/>
          <w:spacing w:val="-7"/>
          <w:w w:val="110"/>
          <w:lang w:val="es-ES" w:eastAsia="es-ES"/>
        </w:rPr>
        <w:t xml:space="preserve">apelante </w:t>
      </w:r>
      <w:proofErr w:type="gramStart"/>
      <w:r>
        <w:rPr>
          <w:i/>
          <w:iCs/>
          <w:spacing w:val="-7"/>
          <w:w w:val="110"/>
          <w:lang w:val="es-ES" w:eastAsia="es-ES"/>
        </w:rPr>
        <w:t>deberá</w:t>
      </w:r>
      <w:proofErr w:type="gramEnd"/>
      <w:r>
        <w:rPr>
          <w:i/>
          <w:iCs/>
          <w:spacing w:val="-7"/>
          <w:w w:val="110"/>
          <w:lang w:val="es-ES" w:eastAsia="es-ES"/>
        </w:rPr>
        <w:t xml:space="preserve"> aportar la prueba en que se apoyen sus argumentaciones. ... Así, el recurso de apelación debe indicar, con precisión los agravios que tiene </w:t>
      </w:r>
      <w:r>
        <w:rPr>
          <w:i/>
          <w:iCs/>
          <w:spacing w:val="-8"/>
          <w:w w:val="110"/>
          <w:lang w:val="es-ES" w:eastAsia="es-ES"/>
        </w:rPr>
        <w:t>el inconforme con respecto al acto dictado por la Administración..."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252"/>
        <w:ind w:right="360"/>
        <w:jc w:val="both"/>
        <w:rPr>
          <w:rFonts w:ascii="Bookman Old Style" w:hAnsi="Bookman Old Style" w:cs="Bookman Old Style"/>
          <w:spacing w:val="-22"/>
          <w:lang w:val="es-ES" w:eastAsia="es-ES"/>
        </w:rPr>
      </w:pPr>
      <w:r>
        <w:rPr>
          <w:rFonts w:ascii="Bookman Old Style" w:hAnsi="Bookman Old Style" w:cs="Bookman Old Style"/>
          <w:spacing w:val="-22"/>
          <w:lang w:val="es-ES" w:eastAsia="es-ES"/>
        </w:rPr>
        <w:t xml:space="preserve">Por estas razones, este oferente debe ser excluido del presente proceso licitatorio, al haber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indicado más de una base de operación en la oferta presentada para participar en el </w:t>
      </w:r>
      <w:r>
        <w:rPr>
          <w:rFonts w:ascii="Bookman Old Style" w:hAnsi="Bookman Old Style" w:cs="Bookman Old Style"/>
          <w:spacing w:val="-22"/>
          <w:lang w:val="es-ES" w:eastAsia="es-ES"/>
        </w:rPr>
        <w:t>presente concurso público.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252"/>
        <w:ind w:right="360"/>
        <w:rPr>
          <w:rFonts w:ascii="Bookman Old Style" w:hAnsi="Bookman Old Style" w:cs="Bookman Old Style"/>
          <w:spacing w:val="-22"/>
          <w:lang w:val="es-ES" w:eastAsia="es-ES"/>
        </w:rPr>
      </w:pPr>
      <w:r>
        <w:rPr>
          <w:rFonts w:ascii="Bookman Old Style" w:hAnsi="Bookman Old Style" w:cs="Bookman Old Style"/>
          <w:spacing w:val="-22"/>
          <w:lang w:val="es-ES" w:eastAsia="es-ES"/>
        </w:rPr>
        <w:t>Todos los argumentos aquí esbozados hacen mérito para declarar sin lugar el recurso de apelación presentado.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288" w:line="201" w:lineRule="auto"/>
        <w:ind w:left="3672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POR TANTO: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540"/>
        <w:ind w:right="360"/>
        <w:jc w:val="both"/>
        <w:rPr>
          <w:rFonts w:ascii="Bookman Old Style" w:hAnsi="Bookman Old Style" w:cs="Bookman Old Style"/>
          <w:spacing w:val="-22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>I.</w:t>
      </w:r>
      <w:r>
        <w:rPr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Fonts w:ascii="Bookman Old Style" w:hAnsi="Bookman Old Style" w:cs="Bookman Old Style"/>
          <w:spacing w:val="-12"/>
          <w:lang w:val="es-ES" w:eastAsia="es-ES"/>
        </w:rPr>
        <w:t xml:space="preserve">Se declara sin lugar el Recurso de Apelación interpuesto por el señor </w:t>
      </w:r>
      <w:r>
        <w:rPr>
          <w:b/>
          <w:bCs/>
          <w:spacing w:val="-2"/>
          <w:sz w:val="25"/>
          <w:szCs w:val="25"/>
          <w:lang w:val="es-ES" w:eastAsia="es-ES"/>
        </w:rPr>
        <w:t>EGP</w:t>
      </w:r>
      <w:r>
        <w:rPr>
          <w:b/>
          <w:bCs/>
          <w:spacing w:val="-3"/>
          <w:sz w:val="25"/>
          <w:szCs w:val="25"/>
          <w:lang w:val="es-ES" w:eastAsia="es-ES"/>
        </w:rPr>
        <w:t xml:space="preserve">, cédula de identidad </w:t>
      </w:r>
      <w:proofErr w:type="gramStart"/>
      <w:r>
        <w:rPr>
          <w:b/>
          <w:bCs/>
          <w:spacing w:val="-3"/>
          <w:sz w:val="25"/>
          <w:szCs w:val="25"/>
          <w:lang w:val="es-ES" w:eastAsia="es-ES"/>
        </w:rPr>
        <w:t>número …</w:t>
      </w:r>
      <w:proofErr w:type="gramEnd"/>
      <w:r>
        <w:rPr>
          <w:b/>
          <w:bCs/>
          <w:spacing w:val="-3"/>
          <w:sz w:val="25"/>
          <w:szCs w:val="25"/>
          <w:lang w:val="es-ES" w:eastAsia="es-ES"/>
        </w:rPr>
        <w:t xml:space="preserve">, </w:t>
      </w:r>
      <w:r>
        <w:rPr>
          <w:rFonts w:ascii="Bookman Old Style" w:hAnsi="Bookman Old Style" w:cs="Bookman Old Style"/>
          <w:spacing w:val="-13"/>
          <w:lang w:val="es-ES" w:eastAsia="es-ES"/>
        </w:rPr>
        <w:t xml:space="preserve">contra el Artículo 1° de la </w:t>
      </w:r>
      <w:r>
        <w:rPr>
          <w:rFonts w:ascii="Bookman Old Style" w:hAnsi="Bookman Old Style" w:cs="Bookman Old Style"/>
          <w:spacing w:val="-23"/>
          <w:lang w:val="es-ES" w:eastAsia="es-ES"/>
        </w:rPr>
        <w:t xml:space="preserve">Sesión Extraordinaria N° 37-2001 de fecha 24 de octubre del 2001 de Junta Directiva del </w:t>
      </w:r>
      <w:r>
        <w:rPr>
          <w:rFonts w:ascii="Bookman Old Style" w:hAnsi="Bookman Old Style" w:cs="Bookman Old Style"/>
          <w:spacing w:val="-24"/>
          <w:lang w:val="es-ES" w:eastAsia="es-ES"/>
        </w:rPr>
        <w:t xml:space="preserve">Consejo de Transporte Público, por cuanto al mismo no le asiste razón alguna de apelar este </w:t>
      </w:r>
      <w:r>
        <w:rPr>
          <w:rFonts w:ascii="Bookman Old Style" w:hAnsi="Bookman Old Style" w:cs="Bookman Old Style"/>
          <w:spacing w:val="-22"/>
          <w:lang w:val="es-ES" w:eastAsia="es-ES"/>
        </w:rPr>
        <w:t>acto, ya que están participando en una base que no le corresponde conforme el vehículo con el cual está participando.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252"/>
        <w:rPr>
          <w:rFonts w:ascii="Bookman Old Style" w:hAnsi="Bookman Old Style" w:cs="Bookman Old Style"/>
          <w:spacing w:val="-21"/>
          <w:lang w:val="es-ES" w:eastAsia="es-ES"/>
        </w:rPr>
      </w:pPr>
      <w:r>
        <w:rPr>
          <w:rFonts w:ascii="Bookman Old Style" w:hAnsi="Bookman Old Style" w:cs="Bookman Old Style"/>
          <w:spacing w:val="-21"/>
          <w:lang w:val="es-ES" w:eastAsia="es-ES"/>
        </w:rPr>
        <w:t>II. Se confirma en lo aquí resuelto el acuerdo impugnado.</w:t>
      </w:r>
    </w:p>
    <w:p w:rsidR="00027DCE" w:rsidRDefault="00027DCE" w:rsidP="00027DCE">
      <w:pPr>
        <w:pStyle w:val="Style5"/>
        <w:kinsoku w:val="0"/>
        <w:autoSpaceDE/>
        <w:autoSpaceDN/>
        <w:adjustRightInd/>
        <w:spacing w:before="216"/>
        <w:ind w:right="360"/>
        <w:rPr>
          <w:i/>
          <w:iCs/>
          <w:spacing w:val="-9"/>
          <w:w w:val="110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.2pt;margin-top:245.3pt;width:417.35pt;height:9.6pt;z-index:251660288;mso-wrap-edited:f;mso-wrap-distance-left:0;mso-wrap-distance-right:0" wrapcoords="-62 0 -62 21600 21662 21600 21662 0 -62 0" o:allowincell="f" stroked="f">
            <v:textbox inset="0,0,0,0">
              <w:txbxContent>
                <w:p w:rsidR="00027DCE" w:rsidRPr="00A61F10" w:rsidRDefault="00027DCE" w:rsidP="00027DCE">
                  <w:pPr>
                    <w:rPr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Bookman Old Style" w:hAnsi="Bookman Old Style" w:cs="Bookman Old Style"/>
          <w:spacing w:val="-15"/>
          <w:lang w:val="es-ES" w:eastAsia="es-ES"/>
        </w:rPr>
        <w:t xml:space="preserve">III.- De conformidad con el artículo 22, inciso c), de la citada Ley 7969, la presente </w:t>
      </w:r>
      <w:r>
        <w:rPr>
          <w:rFonts w:ascii="Bookman Old Style" w:hAnsi="Bookman Old Style" w:cs="Bookman Old Style"/>
          <w:spacing w:val="-19"/>
          <w:lang w:val="es-ES" w:eastAsia="es-ES"/>
        </w:rPr>
        <w:t xml:space="preserve">resolución no tiene ulterior recurso por lo que, </w:t>
      </w:r>
      <w:r>
        <w:rPr>
          <w:i/>
          <w:iCs/>
          <w:spacing w:val="-9"/>
          <w:w w:val="110"/>
          <w:lang w:val="es-ES" w:eastAsia="es-ES"/>
        </w:rPr>
        <w:t>se tiene por agotada la vía administrativa.</w:t>
      </w:r>
    </w:p>
    <w:p w:rsidR="00027DCE" w:rsidRDefault="00027DCE" w:rsidP="00027DCE">
      <w:pPr>
        <w:widowControl/>
        <w:kinsoku/>
        <w:autoSpaceDE w:val="0"/>
        <w:autoSpaceDN w:val="0"/>
        <w:adjustRightInd w:val="0"/>
      </w:pPr>
    </w:p>
    <w:p w:rsidR="00027DCE" w:rsidRDefault="00027DCE" w:rsidP="00027DCE">
      <w:pPr>
        <w:widowControl/>
        <w:kinsoku/>
        <w:autoSpaceDE w:val="0"/>
        <w:autoSpaceDN w:val="0"/>
        <w:adjustRightInd w:val="0"/>
      </w:pPr>
    </w:p>
    <w:p w:rsidR="00027DCE" w:rsidRDefault="00027DCE" w:rsidP="00027DCE">
      <w:pPr>
        <w:widowControl/>
        <w:kinsoku/>
        <w:autoSpaceDE w:val="0"/>
        <w:autoSpaceDN w:val="0"/>
        <w:adjustRightInd w:val="0"/>
      </w:pPr>
      <w:proofErr w:type="gramStart"/>
      <w:r>
        <w:t>NOTIFIQUESE.-</w:t>
      </w:r>
      <w:proofErr w:type="gramEnd"/>
    </w:p>
    <w:p w:rsidR="00027DCE" w:rsidRDefault="00027DCE" w:rsidP="00027DCE">
      <w:pPr>
        <w:ind w:left="993"/>
        <w:jc w:val="center"/>
        <w:rPr>
          <w:sz w:val="26"/>
          <w:szCs w:val="26"/>
        </w:rPr>
      </w:pPr>
      <w:proofErr w:type="spellStart"/>
      <w:proofErr w:type="gramStart"/>
      <w:r w:rsidRPr="007F2E23">
        <w:t>Licda</w:t>
      </w:r>
      <w:proofErr w:type="spellEnd"/>
      <w:r w:rsidRPr="007F2E23">
        <w:t>.</w:t>
      </w:r>
      <w:proofErr w:type="gramEnd"/>
      <w:r w:rsidRPr="007F2E23">
        <w:t xml:space="preserve"> Marta</w:t>
      </w:r>
      <w:r w:rsidRPr="00C956E8">
        <w:rPr>
          <w:sz w:val="26"/>
          <w:szCs w:val="26"/>
        </w:rPr>
        <w:t xml:space="preserve">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027DCE" w:rsidRDefault="00027DCE" w:rsidP="00027DCE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027DCE" w:rsidRDefault="00027DCE" w:rsidP="00027DCE">
      <w:pPr>
        <w:ind w:left="993"/>
        <w:rPr>
          <w:sz w:val="26"/>
          <w:szCs w:val="26"/>
        </w:rPr>
      </w:pPr>
    </w:p>
    <w:p w:rsidR="00027DCE" w:rsidRDefault="00027DCE" w:rsidP="00027DCE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027DCE" w:rsidRPr="00863A7F" w:rsidRDefault="00027DCE" w:rsidP="00027DCE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027DCE" w:rsidRDefault="00027DCE" w:rsidP="00027DCE">
      <w:pPr>
        <w:pStyle w:val="Style3"/>
        <w:widowControl/>
        <w:spacing w:before="216"/>
      </w:pPr>
      <w:r>
        <w:rPr>
          <w:noProof/>
          <w:lang w:val="es-CR"/>
        </w:rPr>
        <w:pict>
          <v:line id="_x0000_s1027" style="position:absolute;z-index:251661312;mso-wrap-distance-left:0;mso-wrap-distance-right:0;mso-position-horizontal-relative:page;mso-position-vertical-relative:page" from="600.7pt,682.1pt" to="657.75pt,682.1pt" o:allowincell="f" strokeweight=".5pt">
            <w10:wrap type="square" anchorx="page" anchory="page"/>
          </v:line>
        </w:pict>
      </w:r>
    </w:p>
    <w:p w:rsidR="00027DCE" w:rsidRPr="002B4DFD" w:rsidRDefault="00027DCE" w:rsidP="00027DCE">
      <w:pPr>
        <w:widowControl/>
        <w:kinsoku/>
        <w:autoSpaceDE w:val="0"/>
        <w:autoSpaceDN w:val="0"/>
        <w:adjustRightInd w:val="0"/>
        <w:ind w:left="504"/>
        <w:sectPr w:rsidR="00027DCE" w:rsidRPr="002B4DFD" w:rsidSect="009B6A07">
          <w:pgSz w:w="12240" w:h="15840"/>
          <w:pgMar w:top="1701" w:right="1701" w:bottom="1701" w:left="1701" w:header="720" w:footer="720" w:gutter="0"/>
          <w:cols w:space="720"/>
          <w:noEndnote/>
          <w:docGrid w:linePitch="326"/>
        </w:sectPr>
      </w:pPr>
    </w:p>
    <w:p w:rsidR="00027DCE" w:rsidRDefault="00027DCE" w:rsidP="00027DCE">
      <w:pPr>
        <w:widowControl/>
        <w:kinsoku/>
        <w:autoSpaceDE w:val="0"/>
        <w:autoSpaceDN w:val="0"/>
        <w:adjustRightInd w:val="0"/>
      </w:pPr>
    </w:p>
    <w:p w:rsidR="00027DCE" w:rsidRDefault="00027DCE" w:rsidP="00027DCE">
      <w:pPr>
        <w:widowControl/>
        <w:kinsoku/>
        <w:autoSpaceDE w:val="0"/>
        <w:autoSpaceDN w:val="0"/>
        <w:adjustRightInd w:val="0"/>
      </w:pPr>
    </w:p>
    <w:p w:rsidR="00027DCE" w:rsidRDefault="00027DCE" w:rsidP="00027DCE">
      <w:pPr>
        <w:widowControl/>
        <w:kinsoku/>
        <w:autoSpaceDE w:val="0"/>
        <w:autoSpaceDN w:val="0"/>
        <w:adjustRightInd w:val="0"/>
      </w:pPr>
    </w:p>
    <w:p w:rsidR="00027DCE" w:rsidRDefault="00027DCE" w:rsidP="00027DCE">
      <w:pPr>
        <w:widowControl/>
        <w:kinsoku/>
        <w:autoSpaceDE w:val="0"/>
        <w:autoSpaceDN w:val="0"/>
        <w:adjustRightInd w:val="0"/>
      </w:pPr>
    </w:p>
    <w:p w:rsidR="00027DCE" w:rsidRDefault="00027DCE" w:rsidP="00027DCE">
      <w:pPr>
        <w:widowControl/>
        <w:kinsoku/>
        <w:autoSpaceDE w:val="0"/>
        <w:autoSpaceDN w:val="0"/>
        <w:adjustRightInd w:val="0"/>
      </w:pPr>
    </w:p>
    <w:p w:rsidR="00027DCE" w:rsidRDefault="00027DCE" w:rsidP="00027DCE">
      <w:pPr>
        <w:widowControl/>
        <w:kinsoku/>
        <w:autoSpaceDE w:val="0"/>
        <w:autoSpaceDN w:val="0"/>
        <w:adjustRightInd w:val="0"/>
        <w:sectPr w:rsidR="00027DCE">
          <w:pgSz w:w="12240" w:h="15840"/>
          <w:pgMar w:top="1160" w:right="1677" w:bottom="6641" w:left="1283" w:header="720" w:footer="720" w:gutter="0"/>
          <w:cols w:space="720"/>
          <w:noEndnote/>
        </w:sectPr>
      </w:pPr>
    </w:p>
    <w:p w:rsidR="00027DCE" w:rsidRDefault="00027DCE" w:rsidP="00027DCE">
      <w:pPr>
        <w:spacing w:before="49" w:after="504"/>
        <w:ind w:left="8174" w:right="18"/>
        <w:jc w:val="center"/>
      </w:pPr>
    </w:p>
    <w:p w:rsidR="00F07A18" w:rsidRDefault="00F07A18"/>
    <w:sectPr w:rsidR="00F07A18" w:rsidSect="00A61F10">
      <w:pgSz w:w="12240" w:h="15840"/>
      <w:pgMar w:top="9937" w:right="590" w:bottom="1550" w:left="10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0B48"/>
    <w:multiLevelType w:val="singleLevel"/>
    <w:tmpl w:val="086033E5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2"/>
        <w:sz w:val="25"/>
        <w:szCs w:val="25"/>
      </w:rPr>
    </w:lvl>
  </w:abstractNum>
  <w:abstractNum w:abstractNumId="1">
    <w:nsid w:val="01F70759"/>
    <w:multiLevelType w:val="singleLevel"/>
    <w:tmpl w:val="508A918E"/>
    <w:lvl w:ilvl="0">
      <w:start w:val="4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10"/>
        <w:sz w:val="25"/>
        <w:szCs w:val="25"/>
      </w:rPr>
    </w:lvl>
  </w:abstractNum>
  <w:abstractNum w:abstractNumId="2">
    <w:nsid w:val="02B5459E"/>
    <w:multiLevelType w:val="singleLevel"/>
    <w:tmpl w:val="61ECF259"/>
    <w:lvl w:ilvl="0">
      <w:start w:val="2"/>
      <w:numFmt w:val="upperLetter"/>
      <w:lvlText w:val="%1.-"/>
      <w:lvlJc w:val="left"/>
      <w:pPr>
        <w:tabs>
          <w:tab w:val="num" w:pos="432"/>
        </w:tabs>
        <w:ind w:left="144" w:firstLine="72"/>
      </w:pPr>
      <w:rPr>
        <w:rFonts w:cs="Times New Roman"/>
        <w:snapToGrid/>
        <w:spacing w:val="3"/>
        <w:sz w:val="25"/>
        <w:szCs w:val="25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DCE"/>
    <w:rsid w:val="00027DCE"/>
    <w:rsid w:val="00156418"/>
    <w:rsid w:val="003819BC"/>
    <w:rsid w:val="003D5801"/>
    <w:rsid w:val="004265E2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DC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027DCE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027DCE"/>
    <w:pPr>
      <w:kinsoku/>
      <w:autoSpaceDE w:val="0"/>
      <w:autoSpaceDN w:val="0"/>
      <w:spacing w:before="180"/>
      <w:ind w:right="72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027DC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027DCE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027DCE"/>
    <w:pPr>
      <w:kinsoku/>
      <w:autoSpaceDE w:val="0"/>
      <w:autoSpaceDN w:val="0"/>
      <w:spacing w:before="216"/>
      <w:ind w:right="864"/>
      <w:jc w:val="both"/>
    </w:pPr>
  </w:style>
  <w:style w:type="paragraph" w:customStyle="1" w:styleId="Style7">
    <w:name w:val="Style 7"/>
    <w:basedOn w:val="Normal"/>
    <w:uiPriority w:val="99"/>
    <w:rsid w:val="00027DCE"/>
    <w:pPr>
      <w:kinsoku/>
      <w:autoSpaceDE w:val="0"/>
      <w:autoSpaceDN w:val="0"/>
      <w:ind w:left="72"/>
    </w:pPr>
  </w:style>
  <w:style w:type="paragraph" w:customStyle="1" w:styleId="Style8">
    <w:name w:val="Style 8"/>
    <w:basedOn w:val="Normal"/>
    <w:uiPriority w:val="99"/>
    <w:rsid w:val="00027DCE"/>
    <w:pPr>
      <w:kinsoku/>
      <w:autoSpaceDE w:val="0"/>
      <w:autoSpaceDN w:val="0"/>
      <w:spacing w:before="144"/>
      <w:ind w:left="72" w:right="72"/>
      <w:jc w:val="both"/>
    </w:pPr>
  </w:style>
  <w:style w:type="paragraph" w:customStyle="1" w:styleId="Style4">
    <w:name w:val="Style 4"/>
    <w:basedOn w:val="Normal"/>
    <w:uiPriority w:val="99"/>
    <w:rsid w:val="00027DCE"/>
    <w:pPr>
      <w:kinsoku/>
      <w:autoSpaceDE w:val="0"/>
      <w:autoSpaceDN w:val="0"/>
      <w:ind w:left="720" w:right="792"/>
      <w:jc w:val="both"/>
    </w:pPr>
    <w:rPr>
      <w:i/>
      <w:iCs/>
    </w:rPr>
  </w:style>
  <w:style w:type="character" w:customStyle="1" w:styleId="CharacterStyle1">
    <w:name w:val="Character Style 1"/>
    <w:uiPriority w:val="99"/>
    <w:rsid w:val="00027DCE"/>
    <w:rPr>
      <w:sz w:val="25"/>
    </w:rPr>
  </w:style>
  <w:style w:type="character" w:customStyle="1" w:styleId="CharacterStyle3">
    <w:name w:val="Character Style 3"/>
    <w:uiPriority w:val="99"/>
    <w:rsid w:val="00027DCE"/>
    <w:rPr>
      <w:sz w:val="20"/>
    </w:rPr>
  </w:style>
  <w:style w:type="character" w:customStyle="1" w:styleId="CharacterStyle6">
    <w:name w:val="Character Style 6"/>
    <w:uiPriority w:val="99"/>
    <w:rsid w:val="00027DCE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2774</Words>
  <Characters>15259</Characters>
  <Application>Microsoft Office Word</Application>
  <DocSecurity>0</DocSecurity>
  <Lines>127</Lines>
  <Paragraphs>35</Paragraphs>
  <ScaleCrop>false</ScaleCrop>
  <Company/>
  <LinksUpToDate>false</LinksUpToDate>
  <CharactersWithSpaces>17998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2013-08-12T20:28:00Z</dcterms:created>
  <dcterms:modified xsi:type="dcterms:W3CDTF">2013-08-12T20:28:00Z</dcterms:modified>
</cp:coreProperties>
</file>